
<file path=[Content_Types].xml><?xml version="1.0" encoding="utf-8"?>
<Types xmlns="http://schemas.openxmlformats.org/package/2006/content-types">
  <Default ContentType="image/jpeg" Extension="jpeg"/>
  <Default ContentType="image/.jp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ustom.xml" Type="http://schemas.openxmlformats.org/officeDocument/2006/relationships/custom-properties"/><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356" w:lineRule="auto"/>
        <w:rPr>
          <w:rFonts w:ascii="Arial"/>
          <w:sz w:val="21"/>
        </w:rPr>
      </w:pPr>
      <w:r/>
    </w:p>
    <w:p>
      <w:pPr>
        <w:ind w:left="2596"/>
        <w:spacing w:before="88" w:line="230" w:lineRule="auto"/>
        <w:rPr>
          <w:rFonts w:ascii="SimHei" w:hAnsi="SimHei" w:eastAsia="SimHei" w:cs="SimHei"/>
          <w:sz w:val="22"/>
          <w:szCs w:val="22"/>
        </w:rPr>
      </w:pPr>
      <w:r>
        <w:rPr>
          <w:rFonts w:ascii="SimHei" w:hAnsi="SimHei" w:eastAsia="SimHei" w:cs="SimHei"/>
          <w:sz w:val="27"/>
          <w:szCs w:val="27"/>
          <w:b/>
          <w:bCs/>
          <w:spacing w:val="1"/>
        </w:rPr>
        <w:t>Regulatory Monthly Report</w:t>
      </w:r>
      <w:r>
        <w:rPr>
          <w:rFonts w:ascii="Times New Roman" w:hAnsi="Times New Roman" w:eastAsia="Times New Roman" w:cs="Times New Roman"/>
          <w:sz w:val="27"/>
          <w:szCs w:val="27"/>
          <w:b/>
          <w:bCs/>
          <w:spacing w:val="1"/>
        </w:rPr>
        <w:t>--</w:t>
      </w:r>
      <w:r>
        <w:rPr>
          <w:rFonts w:ascii="SimHei" w:hAnsi="SimHei" w:eastAsia="SimHei" w:cs="SimHei"/>
          <w:sz w:val="27"/>
          <w:szCs w:val="27"/>
          <w:b/>
          <w:bCs/>
          <w:spacing w:val="1"/>
        </w:rPr>
        <w:t>Fifth Issue</w:t>
      </w:r>
      <w:r>
        <w:rPr>
          <w:rFonts w:ascii="SimHei" w:hAnsi="SimHei" w:eastAsia="SimHei" w:cs="SimHei"/>
          <w:sz w:val="22"/>
          <w:szCs w:val="22"/>
          <w:b/>
          <w:bCs/>
          <w:spacing w:val="1"/>
        </w:rPr>
        <w:t>（</w:t>
      </w:r>
      <w:r>
        <w:rPr>
          <w:rFonts w:ascii="Times New Roman" w:hAnsi="Times New Roman" w:eastAsia="Times New Roman" w:cs="Times New Roman"/>
          <w:sz w:val="22"/>
          <w:szCs w:val="22"/>
          <w:b/>
          <w:bCs/>
          <w:spacing w:val="1"/>
        </w:rPr>
        <w:t>2025.10.18-2025.11.14</w:t>
      </w:r>
      <w:r>
        <w:rPr>
          <w:rFonts w:ascii="SimHei" w:hAnsi="SimHei" w:eastAsia="SimHei" w:cs="SimHei"/>
          <w:sz w:val="22"/>
          <w:szCs w:val="22"/>
          <w:b/>
          <w:bCs/>
          <w:spacing w:val="1"/>
        </w:rPr>
        <w:t>）</w:t>
      </w:r>
    </w:p>
    <w:p>
      <w:pPr>
        <w:spacing w:line="304" w:lineRule="auto"/>
        <w:rPr>
          <w:rFonts w:ascii="Arial"/>
          <w:sz w:val="21"/>
        </w:rPr>
      </w:pPr>
      <w:r/>
    </w:p>
    <w:p>
      <w:pPr>
        <w:spacing w:line="304" w:lineRule="auto"/>
        <w:rPr>
          <w:rFonts w:ascii="Arial"/>
          <w:sz w:val="21"/>
        </w:rPr>
      </w:pPr>
      <w:r/>
    </w:p>
    <w:p>
      <w:pPr>
        <w:pStyle w:val="BodyText"/>
        <w:ind w:left="456"/>
        <w:spacing w:before="78" w:line="233" w:lineRule="auto"/>
        <w:rPr/>
      </w:pPr>
      <w:r>
        <w:rPr>
          <w:rFonts w:ascii="Times New Roman" w:hAnsi="Times New Roman" w:eastAsia="Times New Roman" w:cs="Times New Roman"/>
          <w:b/>
          <w:bCs/>
          <w:spacing w:val="-3"/>
        </w:rPr>
        <w:t>2025.10.18-2025.11.14</w:t>
      </w:r>
      <w:r>
        <w:rPr>
          <w:rFonts w:ascii="Times New Roman" w:hAnsi="Times New Roman" w:eastAsia="Times New Roman" w:cs="Times New Roman"/>
          <w:b/>
          <w:bCs/>
          <w:spacing w:val="-35"/>
        </w:rPr>
        <w:t xml:space="preserve"> </w:t>
      </w:r>
      <w:r>
        <w:rPr>
          <w:b/>
          <w:bCs/>
          <w:spacing w:val="-3"/>
        </w:rPr>
        <w:t>,</w:t>
      </w:r>
      <w:r>
        <w:rPr>
          <w:rFonts w:ascii="Times New Roman" w:hAnsi="Times New Roman" w:eastAsia="Times New Roman" w:cs="Times New Roman"/>
          <w:b/>
          <w:bCs/>
          <w:spacing w:val="-3"/>
        </w:rPr>
        <w:t>NM</w:t>
      </w:r>
      <w:r>
        <w:rPr>
          <w:rFonts w:ascii="Times New Roman" w:hAnsi="Times New Roman" w:eastAsia="Times New Roman" w:cs="Times New Roman"/>
          <w:b/>
          <w:bCs/>
          <w:spacing w:val="-4"/>
        </w:rPr>
        <w:t>PA</w:t>
      </w:r>
      <w:r>
        <w:rPr>
          <w:rFonts w:ascii="Times New Roman" w:hAnsi="Times New Roman" w:eastAsia="Times New Roman" w:cs="Times New Roman"/>
          <w:b/>
          <w:bCs/>
          <w:spacing w:val="-34"/>
        </w:rPr>
        <w:t xml:space="preserve"> </w:t>
      </w:r>
      <w:r>
        <w:rPr>
          <w:b/>
          <w:bCs/>
          <w:spacing w:val="-4"/>
        </w:rPr>
        <w:t>,</w:t>
      </w:r>
      <w:r>
        <w:rPr>
          <w:rFonts w:ascii="Times New Roman" w:hAnsi="Times New Roman" w:eastAsia="Times New Roman" w:cs="Times New Roman"/>
          <w:b/>
          <w:bCs/>
          <w:spacing w:val="-4"/>
        </w:rPr>
        <w:t>CDE</w:t>
      </w:r>
      <w:r>
        <w:rPr>
          <w:b/>
          <w:bCs/>
          <w:spacing w:val="-4"/>
        </w:rPr>
        <w:t>The regulatory authorities have jointly issued the following guidelines:</w:t>
      </w:r>
    </w:p>
    <w:p>
      <w:pPr>
        <w:spacing w:line="282" w:lineRule="auto"/>
        <w:rPr>
          <w:rFonts w:ascii="Arial"/>
          <w:sz w:val="21"/>
        </w:rPr>
      </w:pPr>
      <w:r/>
    </w:p>
    <w:p>
      <w:pPr>
        <w:ind w:firstLine="28"/>
        <w:spacing w:line="8277" w:lineRule="exact"/>
        <w:rPr/>
      </w:pPr>
      <w:r>
        <w:rPr>
          <w:position w:val="-165"/>
        </w:rPr>
        <w:drawing>
          <wp:inline distT="0" distB="0" distL="0" distR="0">
            <wp:extent cx="6188583" cy="5255895"/>
            <wp:effectExtent l="0" t="0" r="0" b="0"/>
            <wp:docPr id="2" name="IM 2"/>
            <wp:cNvGraphicFramePr/>
            <a:graphic>
              <a:graphicData uri="http://schemas.openxmlformats.org/drawingml/2006/picture">
                <pic:pic>
                  <pic:nvPicPr>
                    <pic:cNvPr id="2" name="IM 2"/>
                    <pic:cNvPicPr/>
                  </pic:nvPicPr>
                  <pic:blipFill>
                    <a:blip r:embed="rId3"/>
                    <a:stretch>
                      <a:fillRect/>
                    </a:stretch>
                  </pic:blipFill>
                  <pic:spPr>
                    <a:xfrm rot="0">
                      <a:off x="0" y="0"/>
                      <a:ext cx="6188583" cy="5255895"/>
                    </a:xfrm>
                    <a:prstGeom prst="rect">
                      <a:avLst/>
                    </a:prstGeom>
                  </pic:spPr>
                </pic:pic>
              </a:graphicData>
            </a:graphic>
          </wp:inline>
        </w:drawing>
      </w:r>
    </w:p>
    <w:p>
      <w:pPr>
        <w:spacing w:line="312" w:lineRule="auto"/>
        <w:rPr>
          <w:rFonts w:ascii="Arial"/>
          <w:sz w:val="21"/>
        </w:rPr>
      </w:pPr>
      <w:r/>
    </w:p>
    <w:p>
      <w:pPr>
        <w:pStyle w:val="BodyText"/>
        <w:ind w:left="40"/>
        <w:spacing w:before="88" w:line="225" w:lineRule="auto"/>
        <w:rPr>
          <w:sz w:val="27"/>
          <w:szCs w:val="27"/>
        </w:rPr>
      </w:pPr>
      <w:r>
        <w:rPr>
          <w:sz w:val="27"/>
          <w:szCs w:val="27"/>
          <w:b/>
          <w:bCs/>
          <w:spacing w:val="4"/>
        </w:rPr>
        <w:t>This monthly regulatory report intends to focus on the following key areas:</w:t>
      </w:r>
    </w:p>
    <w:p>
      <w:pPr>
        <w:spacing w:line="363" w:lineRule="auto"/>
        <w:rPr>
          <w:rFonts w:ascii="Arial"/>
          <w:sz w:val="21"/>
        </w:rPr>
      </w:pPr>
      <w:r/>
    </w:p>
    <w:p>
      <w:pPr>
        <w:pStyle w:val="BodyText"/>
        <w:ind w:left="44"/>
        <w:spacing w:before="88"/>
        <w:outlineLvl w:val="0"/>
        <w:rPr>
          <w:sz w:val="27"/>
          <w:szCs w:val="27"/>
        </w:rPr>
      </w:pPr>
      <w:r>
        <w:rPr>
          <w:sz w:val="27"/>
          <w:szCs w:val="27"/>
          <w:b/>
          <w:bCs/>
          <w:spacing w:val="5"/>
        </w:rPr>
        <w:t>One</w:t>
      </w:r>
      <w:r>
        <w:rPr>
          <w:rFonts w:ascii="Times New Roman" w:hAnsi="Times New Roman" w:eastAsia="Times New Roman" w:cs="Times New Roman"/>
          <w:sz w:val="27"/>
          <w:szCs w:val="27"/>
          <w:b/>
          <w:bCs/>
          <w:spacing w:val="5"/>
        </w:rPr>
        <w:t xml:space="preserve">. </w:t>
      </w:r>
      <w:r>
        <w:rPr>
          <w:sz w:val="27"/>
          <w:szCs w:val="27"/>
          <w:b/>
          <w:bCs/>
          <w:spacing w:val="5"/>
        </w:rPr>
        <w:t>《</w:t>
      </w:r>
      <w:r>
        <w:rPr>
          <w:rFonts w:ascii="Times New Roman" w:hAnsi="Times New Roman" w:eastAsia="Times New Roman" w:cs="Times New Roman"/>
          <w:sz w:val="27"/>
          <w:szCs w:val="27"/>
          <w:b/>
          <w:bCs/>
          <w:spacing w:val="5"/>
        </w:rPr>
        <w:t xml:space="preserve">20251028  </w:t>
      </w:r>
      <w:r>
        <w:rPr>
          <w:sz w:val="27"/>
          <w:szCs w:val="27"/>
          <w:b/>
          <w:bCs/>
          <w:spacing w:val="5"/>
        </w:rPr>
        <w:t>Good Clinical Practice for Drug Clinical Trials (Draft for Soliciting Comments—Revised Version)</w:t>
      </w:r>
      <w:r>
        <w:rPr>
          <w:sz w:val="27"/>
          <w:szCs w:val="27"/>
          <w:spacing w:val="-58"/>
        </w:rPr>
        <w:t xml:space="preserve"> </w:t>
      </w:r>
      <w:r>
        <w:rPr>
          <w:sz w:val="27"/>
          <w:szCs w:val="27"/>
          <w:b/>
          <w:bCs/>
          <w:spacing w:val="5"/>
        </w:rPr>
        <w:t>》</w:t>
      </w:r>
    </w:p>
    <w:p>
      <w:pPr>
        <w:pStyle w:val="BodyText"/>
        <w:ind w:left="39"/>
        <w:spacing w:before="215" w:line="219" w:lineRule="auto"/>
        <w:rPr/>
      </w:pPr>
      <w:r>
        <w:rPr>
          <w:b/>
          <w:bCs/>
          <w:spacing w:val="-5"/>
        </w:rPr>
        <w:t>The core changes in this draft for public comment are as follows:</w:t>
      </w:r>
    </w:p>
    <w:p>
      <w:pPr>
        <w:pStyle w:val="BodyText"/>
        <w:ind w:left="37"/>
        <w:spacing w:before="186" w:line="232" w:lineRule="auto"/>
        <w:rPr/>
      </w:pPr>
      <w:r>
        <w:rPr>
          <w:rFonts w:ascii="Times New Roman" w:hAnsi="Times New Roman" w:eastAsia="Times New Roman" w:cs="Times New Roman"/>
          <w:b/>
          <w:bCs/>
          <w:spacing w:val="-2"/>
        </w:rPr>
        <w:t>01.</w:t>
      </w:r>
      <w:r>
        <w:rPr>
          <w:b/>
          <w:bCs/>
          <w:spacing w:val="-2"/>
        </w:rPr>
        <w:t>Terminology System Upgrade: Highlighting Subjective Value and Focusing on Responsibility</w:t>
      </w:r>
    </w:p>
    <w:p>
      <w:pPr>
        <w:pStyle w:val="BodyText"/>
        <w:ind w:left="102" w:right="84" w:hanging="69"/>
        <w:spacing w:before="165" w:line="353" w:lineRule="auto"/>
        <w:rPr/>
      </w:pPr>
      <w:r>
        <w:rPr>
          <w:rFonts w:ascii="Times New Roman" w:hAnsi="Times New Roman" w:eastAsia="Times New Roman" w:cs="Times New Roman"/>
        </w:rPr>
        <w:t>2025 The GCP version has systematically optimized key terms to both reflect humanistic care and clearly define responsibility boundaries: “Subject” has been upgraded to “Trial Participant”—shifting the role from a passive recipient of the trial to an active participant who takes center stage.</w:t>
      </w:r>
      <w:r>
        <w:rPr/>
        <w:t/>
      </w:r>
      <w:r>
        <w:rPr>
          <w:spacing w:val="-54"/>
        </w:rPr>
        <w:t xml:space="preserve"> </w:t>
      </w:r>
      <w:r>
        <w:rPr>
          <w:rFonts w:ascii="Times New Roman" w:hAnsi="Times New Roman" w:eastAsia="Times New Roman" w:cs="Times New Roman"/>
        </w:rPr>
        <w:t/>
      </w:r>
      <w:r>
        <w:rPr/>
        <w:t/>
      </w:r>
      <w:r>
        <w:rPr>
          <w:spacing w:val="-1"/>
        </w:rPr>
        <w:t/>
      </w:r>
      <w:r>
        <w:rPr/>
        <w:t xml:space="preserve"> </w:t>
      </w:r>
      <w:r>
        <w:rPr>
          <w:rFonts w:ascii="Times New Roman" w:hAnsi="Times New Roman" w:eastAsia="Times New Roman" w:cs="Times New Roman"/>
          <w:b/>
          <w:bCs/>
        </w:rPr>
        <w:t/>
      </w:r>
      <w:r>
        <w:rPr>
          <w:b/>
          <w:bCs/>
        </w:rPr>
        <w:t/>
      </w:r>
      <w:r>
        <w:rPr>
          <w:rFonts w:ascii="Times New Roman" w:hAnsi="Times New Roman" w:eastAsia="Times New Roman" w:cs="Times New Roman"/>
          <w:b/>
          <w:bCs/>
        </w:rPr>
        <w:t/>
      </w:r>
      <w:r>
        <w:rPr>
          <w:b/>
          <w:bCs/>
        </w:rPr>
        <w:t/>
      </w:r>
      <w:r>
        <w:rPr>
          <w:rFonts w:ascii="Times New Roman" w:hAnsi="Times New Roman" w:eastAsia="Times New Roman" w:cs="Times New Roman"/>
          <w:b/>
          <w:bCs/>
        </w:rPr>
        <w:t/>
      </w:r>
      <w:r>
        <w:rPr>
          <w:b/>
          <w:bCs/>
        </w:rPr>
        <w:t/>
      </w:r>
      <w:r>
        <w:rPr>
          <w:rFonts w:ascii="Times New Roman" w:hAnsi="Times New Roman" w:eastAsia="Times New Roman" w:cs="Times New Roman"/>
          <w:b/>
          <w:bCs/>
        </w:rPr>
        <w:t/>
      </w:r>
      <w:r>
        <w:rPr>
          <w:b/>
          <w:bCs/>
        </w:rPr>
        <w:t/>
      </w:r>
      <w:r>
        <w:rPr/>
        <w:t/>
      </w:r>
      <w:r>
        <w:rPr>
          <w:spacing w:val="-1"/>
        </w:rPr>
        <w:t/>
      </w:r>
    </w:p>
    <w:p>
      <w:pPr>
        <w:spacing w:line="353" w:lineRule="auto"/>
        <w:sectPr>
          <w:headerReference w:type="default" r:id="rId1"/>
          <w:footerReference w:type="default" r:id="rId2"/>
          <w:pgSz w:w="11905" w:h="16839"/>
          <w:pgMar w:top="1167" w:right="1046" w:bottom="1576" w:left="1051" w:header="821" w:footer="1371" w:gutter="0"/>
        </w:sectPr>
        <w:rPr/>
      </w:pPr>
    </w:p>
    <w:p>
      <w:pPr>
        <w:spacing w:line="307" w:lineRule="auto"/>
        <w:rPr>
          <w:rFonts w:ascii="Arial"/>
          <w:sz w:val="21"/>
        </w:rPr>
      </w:pPr>
      <w:r/>
    </w:p>
    <w:p>
      <w:pPr>
        <w:pStyle w:val="BodyText"/>
        <w:ind w:left="39"/>
        <w:spacing w:before="78" w:line="220" w:lineRule="auto"/>
        <w:rPr/>
      </w:pPr>
      <w:r>
        <w:rPr>
          <w:spacing w:val="-2"/>
        </w:rPr>
        <w:t>The protection scope also extends from</w:t>
      </w:r>
      <w:r>
        <w:rPr>
          <w:rFonts w:ascii="Times New Roman" w:hAnsi="Times New Roman" w:eastAsia="Times New Roman" w:cs="Times New Roman"/>
          <w:spacing w:val="-2"/>
        </w:rPr>
        <w:t>“</w:t>
      </w:r>
      <w:r>
        <w:rPr>
          <w:spacing w:val="-2"/>
        </w:rPr>
        <w:t>Rights and Safety</w:t>
      </w:r>
      <w:r>
        <w:rPr>
          <w:rFonts w:ascii="Times New Roman" w:hAnsi="Times New Roman" w:eastAsia="Times New Roman" w:cs="Times New Roman"/>
          <w:spacing w:val="-2"/>
        </w:rPr>
        <w:t>”</w:t>
      </w:r>
      <w:r>
        <w:rPr>
          <w:spacing w:val="-2"/>
        </w:rPr>
        <w:t>Expanded to</w:t>
      </w:r>
      <w:r>
        <w:rPr>
          <w:rFonts w:ascii="Times New Roman" w:hAnsi="Times New Roman" w:eastAsia="Times New Roman" w:cs="Times New Roman"/>
          <w:spacing w:val="-2"/>
        </w:rPr>
        <w:t>“</w:t>
      </w:r>
      <w:r>
        <w:rPr>
          <w:spacing w:val="-2"/>
        </w:rPr>
        <w:t>Rights, Safety, and Well-being</w:t>
      </w:r>
      <w:r>
        <w:rPr>
          <w:rFonts w:ascii="Times New Roman" w:hAnsi="Times New Roman" w:eastAsia="Times New Roman" w:cs="Times New Roman"/>
          <w:spacing w:val="-2"/>
        </w:rPr>
        <w:t>”</w:t>
      </w:r>
      <w:r>
        <w:rPr>
          <w:rFonts w:ascii="Times New Roman" w:hAnsi="Times New Roman" w:eastAsia="Times New Roman" w:cs="Times New Roman"/>
          <w:spacing w:val="-31"/>
        </w:rPr>
        <w:t xml:space="preserve"> </w:t>
      </w:r>
      <w:r>
        <w:rPr>
          <w:spacing w:val="-2"/>
        </w:rPr>
        <w:t>Comprehensive, all-dimensional protection.</w:t>
      </w:r>
    </w:p>
    <w:p>
      <w:pPr>
        <w:pStyle w:val="BodyText"/>
        <w:ind w:left="41" w:right="30" w:firstLine="61"/>
        <w:spacing w:before="180" w:line="360" w:lineRule="auto"/>
        <w:rPr/>
      </w:pPr>
      <w:r>
        <w:rPr>
          <w:rFonts w:ascii="Times New Roman" w:hAnsi="Times New Roman" w:eastAsia="Times New Roman" w:cs="Times New Roman"/>
          <w:b/>
          <w:bCs/>
          <w:spacing w:val="1"/>
        </w:rPr>
        <w:t>“Ethics Committee” is adjusted to “Ethics Review Committee”: This emphasizes its core review function and strengthens its critical role in the regulation of clinical trials.</w:t>
      </w:r>
      <w:r>
        <w:rPr>
          <w:b/>
          <w:bCs/>
          <w:spacing w:val="1"/>
        </w:rPr>
        <w:t/>
      </w:r>
      <w:r>
        <w:rPr>
          <w:rFonts w:ascii="Times New Roman" w:hAnsi="Times New Roman" w:eastAsia="Times New Roman" w:cs="Times New Roman"/>
          <w:b/>
          <w:bCs/>
          <w:spacing w:val="1"/>
        </w:rPr>
        <w:t/>
      </w:r>
      <w:r>
        <w:rPr>
          <w:b/>
          <w:bCs/>
          <w:spacing w:val="1"/>
        </w:rPr>
        <w:t/>
      </w:r>
      <w:r>
        <w:rPr>
          <w:spacing w:val="1"/>
        </w:rPr>
        <w:t xml:space="preserve"> </w:t>
      </w:r>
      <w:r>
        <w:rPr>
          <w:rFonts w:ascii="Times New Roman" w:hAnsi="Times New Roman" w:eastAsia="Times New Roman" w:cs="Times New Roman"/>
          <w:b/>
          <w:bCs/>
          <w:spacing w:val="1"/>
        </w:rPr>
        <w:t/>
      </w:r>
      <w:r>
        <w:rPr>
          <w:b/>
          <w:bCs/>
          <w:spacing w:val="1"/>
        </w:rPr>
        <w:t/>
      </w:r>
      <w:r>
        <w:rPr>
          <w:rFonts w:ascii="Times New Roman" w:hAnsi="Times New Roman" w:eastAsia="Times New Roman" w:cs="Times New Roman"/>
          <w:b/>
          <w:bCs/>
          <w:spacing w:val="1"/>
        </w:rPr>
        <w:t/>
      </w:r>
      <w:r>
        <w:rPr>
          <w:b/>
          <w:bCs/>
          <w:spacing w:val="1"/>
        </w:rPr>
        <w:t/>
      </w:r>
      <w:r>
        <w:rPr>
          <w:spacing w:val="1"/>
        </w:rPr>
        <w:t/>
      </w:r>
      <w:r>
        <w:rPr/>
        <w:t/>
      </w:r>
      <w:r>
        <w:rPr>
          <w:spacing w:val="-8"/>
        </w:rPr>
        <w:t/>
      </w:r>
    </w:p>
    <w:p>
      <w:pPr>
        <w:pStyle w:val="BodyText"/>
        <w:ind w:left="40" w:right="84"/>
        <w:spacing w:line="360" w:lineRule="auto"/>
        <w:rPr/>
      </w:pPr>
      <w:r>
        <w:rPr>
          <w:b/>
          <w:bCs/>
          <w:spacing w:val="-2"/>
        </w:rPr>
        <w:t>The core responsible entity is clearly defined as:</w:t>
      </w:r>
      <w:r>
        <w:rPr>
          <w:spacing w:val="-2"/>
        </w:rPr>
        <w:t xml:space="preserve"> </w:t>
      </w:r>
      <w:r>
        <w:rPr>
          <w:rFonts w:ascii="Times New Roman" w:hAnsi="Times New Roman" w:eastAsia="Times New Roman" w:cs="Times New Roman"/>
          <w:b/>
          <w:bCs/>
          <w:spacing w:val="-2"/>
        </w:rPr>
        <w:t>“</w:t>
      </w:r>
      <w:r>
        <w:rPr>
          <w:b/>
          <w:bCs/>
          <w:spacing w:val="-2"/>
        </w:rPr>
        <w:t>Principal Investigator（</w:t>
      </w:r>
      <w:r>
        <w:rPr>
          <w:rFonts w:ascii="Times New Roman" w:hAnsi="Times New Roman" w:eastAsia="Times New Roman" w:cs="Times New Roman"/>
          <w:b/>
          <w:bCs/>
          <w:spacing w:val="-2"/>
        </w:rPr>
        <w:t>PI</w:t>
      </w:r>
      <w:r>
        <w:rPr>
          <w:b/>
          <w:bCs/>
          <w:spacing w:val="-2"/>
        </w:rPr>
        <w:t>）</w:t>
      </w:r>
      <w:r>
        <w:rPr>
          <w:rFonts w:ascii="Times New Roman" w:hAnsi="Times New Roman" w:eastAsia="Times New Roman" w:cs="Times New Roman"/>
          <w:b/>
          <w:bCs/>
          <w:spacing w:val="-2"/>
        </w:rPr>
        <w:t>”</w:t>
      </w:r>
      <w:r>
        <w:rPr>
          <w:b/>
          <w:bCs/>
          <w:spacing w:val="-2"/>
        </w:rPr>
        <w:t>:</w:t>
      </w:r>
      <w:r>
        <w:rPr>
          <w:spacing w:val="-2"/>
        </w:rPr>
        <w:t>In most scenarios, use this wording consistently to avoid fragmentation of responsibility.</w:t>
      </w:r>
      <w:r>
        <w:rPr>
          <w:spacing w:val="-3"/>
        </w:rPr>
        <w:t>Make the key person responsible for clinical trials immediately clear at a glance.</w:t>
      </w:r>
    </w:p>
    <w:p>
      <w:pPr>
        <w:pStyle w:val="BodyText"/>
        <w:ind w:left="37"/>
        <w:spacing w:line="233" w:lineRule="auto"/>
        <w:rPr/>
      </w:pPr>
      <w:r>
        <w:rPr>
          <w:rFonts w:ascii="Times New Roman" w:hAnsi="Times New Roman" w:eastAsia="Times New Roman" w:cs="Times New Roman"/>
          <w:b/>
          <w:bCs/>
          <w:spacing w:val="-2"/>
        </w:rPr>
        <w:t>02.</w:t>
      </w:r>
      <w:r>
        <w:rPr>
          <w:b/>
          <w:bCs/>
          <w:spacing w:val="-2"/>
        </w:rPr>
        <w:t>Optimizing Ethical Review: Aligning with Risks, Reducing Burdens, and Enhancing Efficiency</w:t>
      </w:r>
    </w:p>
    <w:p>
      <w:pPr>
        <w:pStyle w:val="BodyText"/>
        <w:ind w:left="39" w:right="28" w:firstLine="2"/>
        <w:spacing w:before="167" w:line="349" w:lineRule="auto"/>
        <w:rPr/>
      </w:pPr>
      <w:r>
        <w:rPr>
          <w:rFonts w:ascii="Times New Roman" w:hAnsi="Times New Roman" w:eastAsia="Times New Roman" w:cs="Times New Roman"/>
          <w:b/>
          <w:bCs/>
          <w:spacing w:val="-3"/>
        </w:rPr>
        <w:t>Flexibilization of SUSAR Review: Breaking away from the 2020 requirement to “review individually all suspected and unexpected serious adverse reactions (SUSAR),” this approach allows for review methods that are proportionate to the associated risks—for example, in low-risk scenarios, only aggregate reports need to be reviewed.</w:t>
      </w:r>
      <w:r>
        <w:rPr>
          <w:rFonts w:ascii="Times New Roman" w:hAnsi="Times New Roman" w:eastAsia="Times New Roman" w:cs="Times New Roman"/>
          <w:b/>
          <w:bCs/>
          <w:spacing w:val="23"/>
        </w:rPr>
        <w:t xml:space="preserve"> </w:t>
      </w:r>
      <w:r>
        <w:rPr>
          <w:b/>
          <w:bCs/>
          <w:spacing w:val="-3"/>
        </w:rPr>
        <w:t/>
      </w:r>
      <w:r>
        <w:rPr>
          <w:spacing w:val="-3"/>
        </w:rPr>
        <w:t/>
      </w:r>
      <w:r>
        <w:rPr>
          <w:spacing w:val="-58"/>
        </w:rPr>
        <w:t xml:space="preserve"> </w:t>
      </w:r>
      <w:r>
        <w:rPr>
          <w:rFonts w:ascii="Times New Roman" w:hAnsi="Times New Roman" w:eastAsia="Times New Roman" w:cs="Times New Roman"/>
          <w:spacing w:val="-3"/>
        </w:rPr>
        <w:t/>
      </w:r>
      <w:r>
        <w:rPr>
          <w:spacing w:val="-3"/>
        </w:rPr>
        <w:t/>
      </w:r>
      <w:r>
        <w:rPr>
          <w:rFonts w:ascii="Times New Roman" w:hAnsi="Times New Roman" w:eastAsia="Times New Roman" w:cs="Times New Roman"/>
          <w:spacing w:val="-4"/>
        </w:rPr>
        <w:t/>
      </w:r>
      <w:r>
        <w:rPr>
          <w:spacing w:val="-4"/>
        </w:rPr>
        <w:t/>
      </w:r>
      <w:r>
        <w:rPr>
          <w:rFonts w:ascii="Times New Roman" w:hAnsi="Times New Roman" w:eastAsia="Times New Roman" w:cs="Times New Roman"/>
          <w:spacing w:val="-4"/>
        </w:rPr>
        <w:t/>
      </w:r>
      <w:r>
        <w:rPr>
          <w:spacing w:val="-4"/>
        </w:rPr>
        <w:t/>
      </w:r>
      <w:r>
        <w:rPr>
          <w:rFonts w:ascii="Times New Roman" w:hAnsi="Times New Roman" w:eastAsia="Times New Roman" w:cs="Times New Roman"/>
          <w:spacing w:val="-4"/>
        </w:rPr>
        <w:t/>
      </w:r>
      <w:r>
        <w:rPr>
          <w:spacing w:val="-4"/>
        </w:rPr>
        <w:t/>
      </w:r>
      <w:r>
        <w:rPr>
          <w:spacing w:val="-2"/>
        </w:rPr>
        <w:t/>
      </w:r>
    </w:p>
    <w:p>
      <w:pPr>
        <w:pStyle w:val="BodyText"/>
        <w:ind w:left="44" w:right="33" w:firstLine="5"/>
        <w:spacing w:before="29" w:line="359" w:lineRule="auto"/>
        <w:rPr/>
      </w:pPr>
      <w:r>
        <w:rPr>
          <w:b/>
          <w:bCs/>
          <w:spacing w:val="4"/>
        </w:rPr>
        <w:t>The focus of the review has been precisely shifted: moving the review’s core from “all SUSARs” to “Serious Adverse Events (SAEs) reported by the principal investigator,” thereby concentrating on high-priority safety risks.</w:t>
      </w:r>
      <w:r>
        <w:rPr>
          <w:spacing w:val="4"/>
        </w:rPr>
        <w:t/>
      </w:r>
      <w:r>
        <w:rPr>
          <w:rFonts w:ascii="Times New Roman" w:hAnsi="Times New Roman" w:eastAsia="Times New Roman" w:cs="Times New Roman"/>
          <w:spacing w:val="4"/>
        </w:rPr>
        <w:t/>
      </w:r>
      <w:r>
        <w:rPr>
          <w:spacing w:val="4"/>
        </w:rPr>
        <w:t/>
      </w:r>
      <w:r>
        <w:rPr>
          <w:rFonts w:ascii="Times New Roman" w:hAnsi="Times New Roman" w:eastAsia="Times New Roman" w:cs="Times New Roman"/>
        </w:rPr>
        <w:t/>
      </w:r>
      <w:r>
        <w:rPr>
          <w:rFonts w:ascii="Times New Roman" w:hAnsi="Times New Roman" w:eastAsia="Times New Roman" w:cs="Times New Roman"/>
          <w:spacing w:val="4"/>
        </w:rPr>
        <w:t/>
      </w:r>
      <w:r>
        <w:rPr>
          <w:rFonts w:ascii="Times New Roman" w:hAnsi="Times New Roman" w:eastAsia="Times New Roman" w:cs="Times New Roman"/>
          <w:spacing w:val="16"/>
          <w:w w:val="101"/>
        </w:rPr>
        <w:t xml:space="preserve">  </w:t>
      </w:r>
      <w:r>
        <w:rPr>
          <w:spacing w:val="4"/>
        </w:rPr>
        <w:t/>
      </w:r>
      <w:r>
        <w:rPr>
          <w:rFonts w:ascii="Times New Roman" w:hAnsi="Times New Roman" w:eastAsia="Times New Roman" w:cs="Times New Roman"/>
          <w:spacing w:val="4"/>
        </w:rPr>
        <w:t/>
      </w:r>
      <w:r>
        <w:rPr>
          <w:rFonts w:ascii="Times New Roman" w:hAnsi="Times New Roman" w:eastAsia="Times New Roman" w:cs="Times New Roman"/>
          <w:spacing w:val="-45"/>
        </w:rPr>
        <w:t xml:space="preserve"> </w:t>
      </w:r>
      <w:r>
        <w:rPr>
          <w:spacing w:val="4"/>
        </w:rPr>
        <w:t/>
      </w:r>
      <w:r>
        <w:rPr>
          <w:spacing w:val="1"/>
        </w:rPr>
        <w:t/>
      </w:r>
      <w:r>
        <w:rPr>
          <w:rFonts w:ascii="Times New Roman" w:hAnsi="Times New Roman" w:eastAsia="Times New Roman" w:cs="Times New Roman"/>
        </w:rPr>
        <w:t/>
      </w:r>
      <w:r>
        <w:rPr>
          <w:spacing w:val="1"/>
        </w:rPr>
        <w:t/>
      </w:r>
      <w:r>
        <w:rPr>
          <w:rFonts w:ascii="Times New Roman" w:hAnsi="Times New Roman" w:eastAsia="Times New Roman" w:cs="Times New Roman"/>
          <w:spacing w:val="1"/>
        </w:rPr>
        <w:t/>
      </w:r>
      <w:r>
        <w:rPr>
          <w:rFonts w:ascii="Times New Roman" w:hAnsi="Times New Roman" w:eastAsia="Times New Roman" w:cs="Times New Roman"/>
          <w:spacing w:val="-31"/>
        </w:rPr>
        <w:t xml:space="preserve"> </w:t>
      </w:r>
      <w:r>
        <w:rPr>
          <w:spacing w:val="1"/>
        </w:rPr>
        <w:t/>
      </w:r>
    </w:p>
    <w:p>
      <w:pPr>
        <w:pStyle w:val="BodyText"/>
        <w:ind w:left="37" w:right="29" w:firstLine="2"/>
        <w:spacing w:before="2" w:line="359" w:lineRule="auto"/>
        <w:rPr/>
      </w:pPr>
      <w:r>
        <w:rPr>
          <w:b/>
          <w:bCs/>
          <w:spacing w:val="-3"/>
        </w:rPr>
        <w:t>File retention periods are clearly categorized:</w:t>
      </w:r>
      <w:r>
        <w:rPr>
          <w:spacing w:val="-3"/>
        </w:rPr>
        <w:t>Registration-related clinical trial documents must be retained until the drug is marketed.</w:t>
      </w:r>
      <w:r>
        <w:rPr>
          <w:spacing w:val="-4"/>
        </w:rPr>
        <w:t>After the city</w:t>
      </w:r>
      <w:r>
        <w:rPr>
          <w:spacing w:val="-49"/>
        </w:rPr>
        <w:t xml:space="preserve"> </w:t>
      </w:r>
      <w:r>
        <w:rPr>
          <w:rFonts w:ascii="Times New Roman" w:hAnsi="Times New Roman" w:eastAsia="Times New Roman" w:cs="Times New Roman"/>
          <w:spacing w:val="-4"/>
        </w:rPr>
        <w:t xml:space="preserve">5 </w:t>
      </w:r>
      <w:r>
        <w:rPr>
          <w:spacing w:val="-4"/>
        </w:rPr>
        <w:t>Year, non-registered trials are retained until the trial.</w:t>
      </w:r>
      <w:r>
        <w:rPr>
          <w:spacing w:val="-1"/>
        </w:rPr>
        <w:t>After the test is terminated</w:t>
      </w:r>
      <w:r>
        <w:rPr>
          <w:spacing w:val="-50"/>
        </w:rPr>
        <w:t xml:space="preserve"> </w:t>
      </w:r>
      <w:r>
        <w:rPr>
          <w:rFonts w:ascii="Times New Roman" w:hAnsi="Times New Roman" w:eastAsia="Times New Roman" w:cs="Times New Roman"/>
          <w:spacing w:val="-1"/>
        </w:rPr>
        <w:t xml:space="preserve">5 </w:t>
      </w:r>
      <w:r>
        <w:rPr>
          <w:spacing w:val="-1"/>
        </w:rPr>
        <w:t>Year, with the applicant and the principal investigator</w:t>
      </w:r>
      <w:r>
        <w:rPr>
          <w:spacing w:val="-2"/>
        </w:rPr>
        <w:t>The saving requirements must remain consistent.</w:t>
      </w:r>
    </w:p>
    <w:p>
      <w:pPr>
        <w:pStyle w:val="BodyText"/>
        <w:ind w:left="37"/>
        <w:spacing w:before="4" w:line="234" w:lineRule="auto"/>
        <w:rPr/>
      </w:pPr>
      <w:r>
        <w:rPr>
          <w:rFonts w:ascii="Times New Roman" w:hAnsi="Times New Roman" w:eastAsia="Times New Roman" w:cs="Times New Roman"/>
          <w:b/>
          <w:bCs/>
          <w:spacing w:val="-2"/>
        </w:rPr>
        <w:t>03.</w:t>
      </w:r>
      <w:r>
        <w:rPr>
          <w:b/>
          <w:bCs/>
          <w:spacing w:val="-2"/>
        </w:rPr>
        <w:t>Three new principles added: filling regulatory gaps and leading industry development.</w:t>
      </w:r>
    </w:p>
    <w:p>
      <w:pPr>
        <w:pStyle w:val="BodyText"/>
        <w:ind w:left="38" w:right="31"/>
        <w:spacing w:before="161" w:line="353" w:lineRule="auto"/>
        <w:rPr/>
      </w:pPr>
      <w:r>
        <w:rPr>
          <w:b/>
          <w:bCs/>
          <w:spacing w:val="-1"/>
        </w:rPr>
        <w:t>Quality comes from design.（</w:t>
      </w:r>
      <w:r>
        <w:rPr>
          <w:rFonts w:ascii="Times New Roman" w:hAnsi="Times New Roman" w:eastAsia="Times New Roman" w:cs="Times New Roman"/>
          <w:b/>
          <w:bCs/>
          <w:spacing w:val="-1"/>
        </w:rPr>
        <w:t>QbD</w:t>
      </w:r>
      <w:r>
        <w:rPr>
          <w:b/>
          <w:bCs/>
          <w:spacing w:val="-52"/>
        </w:rPr>
        <w:t>）:</w:t>
      </w:r>
      <w:r>
        <w:rPr>
          <w:spacing w:val="-1"/>
        </w:rPr>
        <w:t>It is required to precisely identify critical quality factors and potential risks at the experimental design stage and to develop plans in advance.</w:t>
      </w:r>
      <w:r>
        <w:rPr>
          <w:spacing w:val="-2"/>
        </w:rPr>
        <w:t>Targeted risk control measures, such as:</w:t>
      </w:r>
      <w:r>
        <w:rPr>
          <w:rFonts w:ascii="Times New Roman" w:hAnsi="Times New Roman" w:eastAsia="Times New Roman" w:cs="Times New Roman"/>
          <w:spacing w:val="-2"/>
        </w:rPr>
        <w:t>AI</w:t>
      </w:r>
      <w:r>
        <w:rPr>
          <w:spacing w:val="-2"/>
        </w:rPr>
        <w:t>Data collection requires pre-setting a reasonable risk threshold.</w:t>
      </w:r>
    </w:p>
    <w:p>
      <w:pPr>
        <w:pStyle w:val="BodyText"/>
        <w:ind w:left="39" w:right="31"/>
        <w:spacing w:before="18" w:line="360" w:lineRule="auto"/>
        <w:rPr/>
      </w:pPr>
      <w:r>
        <w:rPr>
          <w:b/>
          <w:bCs/>
          <w:spacing w:val="-3"/>
        </w:rPr>
        <w:t>Proactive Management of Conflicts of Interest:</w:t>
      </w:r>
      <w:r>
        <w:rPr>
          <w:spacing w:val="-3"/>
        </w:rPr>
        <w:t>No longer limited to principled statements, it explicitly requires all participating parties to adopt avoidance and control measures.</w:t>
      </w:r>
      <w:r>
        <w:rPr>
          <w:spacing w:val="-4"/>
        </w:rPr>
        <w:t>Specific management procedures for manufacturing, etc.</w:t>
      </w:r>
      <w:r>
        <w:rPr>
          <w:spacing w:val="-3"/>
        </w:rPr>
        <w:t>Section, to prevent conflicts of interest from interfering with the protection of trial participants and the reliability of data;</w:t>
      </w:r>
    </w:p>
    <w:p>
      <w:pPr>
        <w:pStyle w:val="BodyText"/>
        <w:ind w:left="37" w:right="35" w:firstLine="1"/>
        <w:spacing w:before="1" w:line="360" w:lineRule="auto"/>
        <w:rPr/>
      </w:pPr>
      <w:r>
        <w:rPr>
          <w:b/>
          <w:bCs/>
          <w:spacing w:val="-6"/>
        </w:rPr>
        <w:t>Standards for the Application of New Technologies:</w:t>
      </w:r>
      <w:r>
        <w:rPr>
          <w:spacing w:val="-6"/>
        </w:rPr>
        <w:t>For Decentralized Clinical Trials（</w:t>
      </w:r>
      <w:r>
        <w:rPr>
          <w:rFonts w:ascii="Times New Roman" w:hAnsi="Times New Roman" w:eastAsia="Times New Roman" w:cs="Times New Roman"/>
          <w:spacing w:val="-6"/>
        </w:rPr>
        <w:t>DCT</w:t>
      </w:r>
      <w:r>
        <w:rPr>
          <w:spacing w:val="-6"/>
        </w:rPr>
        <w:t>）,</w:t>
      </w:r>
      <w:r>
        <w:rPr>
          <w:rFonts w:ascii="Times New Roman" w:hAnsi="Times New Roman" w:eastAsia="Times New Roman" w:cs="Times New Roman"/>
          <w:spacing w:val="-6"/>
        </w:rPr>
        <w:t>AI</w:t>
      </w:r>
      <w:r>
        <w:rPr>
          <w:spacing w:val="-6"/>
        </w:rPr>
        <w:t>Innovative technologies such as data processing provide clear guidelines, encouraging...</w:t>
      </w:r>
      <w:r>
        <w:rPr>
          <w:spacing w:val="-2"/>
        </w:rPr>
        <w:t>We are leveraging technology to empower clinical trials while also setting three major compliance benchmarks: ethics, science, and regulations.</w:t>
      </w:r>
    </w:p>
    <w:p>
      <w:pPr>
        <w:pStyle w:val="BodyText"/>
        <w:ind w:left="37"/>
        <w:spacing w:before="1" w:line="232" w:lineRule="auto"/>
        <w:rPr/>
      </w:pPr>
      <w:r>
        <w:rPr>
          <w:rFonts w:ascii="Times New Roman" w:hAnsi="Times New Roman" w:eastAsia="Times New Roman" w:cs="Times New Roman"/>
          <w:b/>
          <w:bCs/>
          <w:spacing w:val="-2"/>
        </w:rPr>
        <w:t>04.</w:t>
      </w:r>
      <w:r>
        <w:rPr>
          <w:b/>
          <w:bCs/>
          <w:spacing w:val="-2"/>
        </w:rPr>
        <w:t>Institutional Management Upgrade: Mandatory Establishment of a Quality Management System</w:t>
      </w:r>
    </w:p>
    <w:p>
      <w:pPr>
        <w:pStyle w:val="BodyText"/>
        <w:ind w:left="41"/>
        <w:spacing w:before="168" w:line="216" w:lineRule="auto"/>
        <w:rPr/>
      </w:pPr>
      <w:r>
        <w:rPr>
          <w:spacing w:val="-1"/>
        </w:rPr>
        <w:t>For the first time, drug clinical trial institutions are required to establish and effectively operate a quality management system.（</w:t>
      </w:r>
      <w:r>
        <w:rPr>
          <w:rFonts w:ascii="Times New Roman" w:hAnsi="Times New Roman" w:eastAsia="Times New Roman" w:cs="Times New Roman"/>
          <w:spacing w:val="-2"/>
        </w:rPr>
        <w:t>QMS</w:t>
      </w:r>
      <w:r>
        <w:rPr>
          <w:spacing w:val="-61"/>
          <w:w w:val="97"/>
        </w:rPr>
        <w:t>）,</w:t>
      </w:r>
      <w:r>
        <w:rPr>
          <w:spacing w:val="-2"/>
        </w:rPr>
        <w:t>Cover the entire testing process:</w:t>
      </w:r>
    </w:p>
    <w:p>
      <w:pPr>
        <w:pStyle w:val="BodyText"/>
        <w:ind w:left="38"/>
        <w:spacing w:before="184" w:line="219" w:lineRule="auto"/>
        <w:rPr/>
      </w:pPr>
      <w:r>
        <w:rPr>
          <w:spacing w:val="-3"/>
        </w:rPr>
        <w:t>Includes a personnel qualification review mechanism to ensure that all participants in the trial possess the requisite competencies.</w:t>
      </w:r>
    </w:p>
    <w:p>
      <w:pPr>
        <w:pStyle w:val="BodyText"/>
        <w:ind w:left="39"/>
        <w:spacing w:before="186" w:line="220" w:lineRule="auto"/>
        <w:rPr/>
      </w:pPr>
      <w:r>
        <w:rPr>
          <w:spacing w:val="-3"/>
        </w:rPr>
        <w:t>Includes real-time monitoring of the storage environment for investigational drugs to ensure drug quality;</w:t>
      </w:r>
    </w:p>
    <w:p>
      <w:pPr>
        <w:pStyle w:val="BodyText"/>
        <w:ind w:left="40"/>
        <w:spacing w:before="180" w:line="218" w:lineRule="auto"/>
        <w:rPr/>
      </w:pPr>
      <w:r>
        <w:rPr>
          <w:spacing w:val="-2"/>
        </w:rPr>
        <w:t>Involves compliance verification of electronic data systems, as well as regular risk assessments and corrective and preventive measures.（</w:t>
      </w:r>
      <w:r>
        <w:rPr>
          <w:rFonts w:ascii="Times New Roman" w:hAnsi="Times New Roman" w:eastAsia="Times New Roman" w:cs="Times New Roman"/>
          <w:spacing w:val="-2"/>
        </w:rPr>
        <w:t>COVER</w:t>
      </w:r>
      <w:r>
        <w:rPr>
          <w:spacing w:val="-2"/>
        </w:rPr>
        <w:t>）its execution;</w:t>
      </w:r>
    </w:p>
    <w:p>
      <w:pPr>
        <w:pStyle w:val="BodyText"/>
        <w:ind w:left="37"/>
        <w:spacing w:before="188" w:line="233" w:lineRule="auto"/>
        <w:rPr/>
      </w:pPr>
      <w:r>
        <w:rPr>
          <w:rFonts w:ascii="Times New Roman" w:hAnsi="Times New Roman" w:eastAsia="Times New Roman" w:cs="Times New Roman"/>
          <w:b/>
          <w:bCs/>
          <w:spacing w:val="-2"/>
        </w:rPr>
        <w:t>05.</w:t>
      </w:r>
      <w:r>
        <w:rPr>
          <w:b/>
          <w:bCs/>
          <w:spacing w:val="-2"/>
        </w:rPr>
        <w:t>New Data Governance Regulations: Implementing Full-Lifecycle Management and Control</w:t>
      </w:r>
    </w:p>
    <w:p>
      <w:pPr>
        <w:pStyle w:val="BodyText"/>
        <w:ind w:left="41"/>
        <w:spacing w:before="161" w:line="220" w:lineRule="auto"/>
        <w:rPr/>
      </w:pPr>
      <w:r>
        <w:rPr>
          <w:spacing w:val="-3"/>
        </w:rPr>
        <w:t>For the first time, requirements for the full lifecycle management of data have been clearly defined, making data reliability assurance more systematic.</w:t>
      </w:r>
    </w:p>
    <w:p>
      <w:pPr>
        <w:pStyle w:val="BodyText"/>
        <w:ind w:left="61" w:right="80" w:hanging="21"/>
        <w:spacing w:before="186" w:line="360" w:lineRule="auto"/>
        <w:rPr/>
      </w:pPr>
      <w:r>
        <w:rPr>
          <w:b/>
          <w:bCs/>
          <w:spacing w:val="-10"/>
        </w:rPr>
        <w:t>Metadata accompanies throughout the entire process:</w:t>
      </w:r>
      <w:r>
        <w:rPr>
          <w:spacing w:val="-10"/>
        </w:rPr>
        <w:t>When entering electronic data, metadata must be provided simultaneously, including the entry time, operator, and modification records.</w:t>
      </w:r>
      <w:r>
        <w:rPr>
          <w:spacing w:val="-5"/>
        </w:rPr>
        <w:t>At the same time, maintain a complete audit trail to ensure data traceability.</w:t>
      </w:r>
    </w:p>
    <w:p>
      <w:pPr>
        <w:pStyle w:val="BodyText"/>
        <w:ind w:left="42"/>
        <w:spacing w:before="1" w:line="218" w:lineRule="auto"/>
        <w:rPr/>
      </w:pPr>
      <w:r>
        <w:rPr>
          <w:b/>
          <w:bCs/>
          <w:spacing w:val="-3"/>
        </w:rPr>
        <w:t>System validation scope expansion:</w:t>
      </w:r>
      <w:r>
        <w:rPr>
          <w:spacing w:val="-3"/>
        </w:rPr>
        <w:t>Not only must the electronic data management system used by the applicant be validated, but also the primary...</w:t>
      </w:r>
      <w:r>
        <w:rPr>
          <w:spacing w:val="-4"/>
        </w:rPr>
        <w:t>Researchers and clinical trials</w:t>
      </w:r>
    </w:p>
    <w:p>
      <w:pPr>
        <w:spacing w:line="218" w:lineRule="auto"/>
        <w:sectPr>
          <w:footerReference w:type="default" r:id="rId4"/>
          <w:pgSz w:w="11905" w:h="16839"/>
          <w:pgMar w:top="1167" w:right="1046" w:bottom="1576" w:left="1051" w:header="821" w:footer="1371" w:gutter="0"/>
        </w:sectPr>
        <w:rPr/>
      </w:pPr>
    </w:p>
    <w:p>
      <w:pPr>
        <w:spacing w:line="307" w:lineRule="auto"/>
        <w:rPr>
          <w:rFonts w:ascii="Arial"/>
          <w:sz w:val="21"/>
        </w:rPr>
      </w:pPr>
      <w:r/>
    </w:p>
    <w:p>
      <w:pPr>
        <w:pStyle w:val="BodyText"/>
        <w:ind w:left="37"/>
        <w:spacing w:before="78" w:line="219" w:lineRule="auto"/>
        <w:rPr/>
      </w:pPr>
      <w:r>
        <w:rPr>
          <w:spacing w:val="-2"/>
        </w:rPr>
        <w:t>Computerized systems used by institutions (such as hospital electronic health record systems) must also comply with relevant requirements.</w:t>
      </w:r>
    </w:p>
    <w:p>
      <w:pPr>
        <w:pStyle w:val="BodyText"/>
        <w:ind w:left="40" w:right="86" w:hanging="1"/>
        <w:spacing w:before="181" w:line="360" w:lineRule="auto"/>
        <w:rPr/>
      </w:pPr>
      <w:r>
        <w:rPr>
          <w:b/>
          <w:bCs/>
          <w:spacing w:val="-3"/>
        </w:rPr>
        <w:t>Blindness Management Enhancement:</w:t>
      </w:r>
      <w:r>
        <w:rPr>
          <w:spacing w:val="-3"/>
        </w:rPr>
        <w:t>Blind trials require the establishment of a standardized emergency unblinding mechanism to ensure rapid identification of subjects in emergency medical settings.</w:t>
      </w:r>
      <w:r>
        <w:rPr>
          <w:spacing w:val="-4"/>
        </w:rPr>
        <w:t>Test use</w:t>
      </w:r>
      <w:r>
        <w:rPr>
          <w:spacing w:val="-3"/>
        </w:rPr>
        <w:t>The medication, while not breaking the blinding of other trial participants.</w:t>
      </w:r>
    </w:p>
    <w:p>
      <w:pPr>
        <w:pStyle w:val="BodyText"/>
        <w:ind w:left="37"/>
        <w:spacing w:line="232" w:lineRule="auto"/>
        <w:rPr/>
      </w:pPr>
      <w:r>
        <w:rPr>
          <w:rFonts w:ascii="Times New Roman" w:hAnsi="Times New Roman" w:eastAsia="Times New Roman" w:cs="Times New Roman"/>
          <w:b/>
          <w:bCs/>
          <w:spacing w:val="-2"/>
        </w:rPr>
        <w:t>06.</w:t>
      </w:r>
      <w:r>
        <w:rPr>
          <w:b/>
          <w:bCs/>
          <w:spacing w:val="-2"/>
        </w:rPr>
        <w:t>Principal Investigator Responsibilities: Refine obligations and strengthen oversight.</w:t>
      </w:r>
    </w:p>
    <w:p>
      <w:pPr>
        <w:pStyle w:val="BodyText"/>
        <w:ind w:left="39"/>
        <w:spacing w:before="167" w:line="220" w:lineRule="auto"/>
        <w:rPr/>
      </w:pPr>
      <w:r>
        <w:rPr>
          <w:spacing w:val="-4"/>
        </w:rPr>
        <w:t>The new version further clarifies.</w:t>
      </w:r>
      <w:r>
        <w:rPr>
          <w:spacing w:val="-45"/>
        </w:rPr>
        <w:t xml:space="preserve"> </w:t>
      </w:r>
      <w:r>
        <w:rPr>
          <w:rFonts w:ascii="Times New Roman" w:hAnsi="Times New Roman" w:eastAsia="Times New Roman" w:cs="Times New Roman"/>
          <w:spacing w:val="-4"/>
        </w:rPr>
        <w:t>PI</w:t>
      </w:r>
      <w:r>
        <w:rPr>
          <w:rFonts w:ascii="Times New Roman" w:hAnsi="Times New Roman" w:eastAsia="Times New Roman" w:cs="Times New Roman"/>
          <w:spacing w:val="28"/>
          <w:w w:val="101"/>
        </w:rPr>
        <w:t xml:space="preserve"> </w:t>
      </w:r>
      <w:r>
        <w:rPr>
          <w:spacing w:val="-4"/>
        </w:rPr>
        <w:t>The core responsibilities, making accountability more actionable and implementable;</w:t>
      </w:r>
    </w:p>
    <w:p>
      <w:pPr>
        <w:pStyle w:val="BodyText"/>
        <w:ind w:left="39"/>
        <w:spacing w:before="181" w:line="360" w:lineRule="auto"/>
        <w:rPr/>
      </w:pPr>
      <w:r>
        <w:rPr>
          <w:b/>
          <w:bCs/>
          <w:spacing w:val="-5"/>
        </w:rPr>
        <w:t>New obligation to protect personal information:</w:t>
      </w:r>
      <w:r>
        <w:rPr>
          <w:spacing w:val="-5"/>
        </w:rPr>
        <w:t>Requirements</w:t>
      </w:r>
      <w:r>
        <w:rPr>
          <w:spacing w:val="-26"/>
        </w:rPr>
        <w:t xml:space="preserve"> </w:t>
      </w:r>
      <w:r>
        <w:rPr>
          <w:rFonts w:ascii="Times New Roman" w:hAnsi="Times New Roman" w:eastAsia="Times New Roman" w:cs="Times New Roman"/>
          <w:spacing w:val="-5"/>
        </w:rPr>
        <w:t>PI</w:t>
      </w:r>
      <w:r>
        <w:rPr>
          <w:rFonts w:ascii="Times New Roman" w:hAnsi="Times New Roman" w:eastAsia="Times New Roman" w:cs="Times New Roman"/>
          <w:spacing w:val="34"/>
        </w:rPr>
        <w:t xml:space="preserve"> </w:t>
      </w:r>
      <w:r>
        <w:rPr>
          <w:spacing w:val="-5"/>
        </w:rPr>
        <w:t>Strictly comply with the Personal Information Protection Law and ensure that trial data is collected and stored in a manner that guarantees its security.</w:t>
      </w:r>
      <w:r>
        <w:rPr>
          <w:spacing w:val="-6"/>
        </w:rPr>
        <w:t>Security throughout the entire process, including usage;</w:t>
      </w:r>
    </w:p>
    <w:p>
      <w:pPr>
        <w:pStyle w:val="BodyText"/>
        <w:ind w:left="38" w:right="138" w:firstLine="3"/>
        <w:spacing w:line="353" w:lineRule="auto"/>
        <w:rPr/>
      </w:pPr>
      <w:r>
        <w:rPr>
          <w:rFonts w:ascii="Times New Roman" w:hAnsi="Times New Roman" w:eastAsia="Times New Roman" w:cs="Times New Roman"/>
          <w:b/>
          <w:bCs/>
          <w:spacing w:val="-7"/>
        </w:rPr>
        <w:t>SAE</w:t>
      </w:r>
      <w:r>
        <w:rPr>
          <w:b/>
          <w:bCs/>
          <w:spacing w:val="-7"/>
        </w:rPr>
        <w:t>Report bidirectional synchronization:</w:t>
      </w:r>
      <w:r>
        <w:rPr>
          <w:spacing w:val="-7"/>
        </w:rPr>
        <w:t>Compared to</w:t>
      </w:r>
      <w:r>
        <w:rPr>
          <w:spacing w:val="-62"/>
        </w:rPr>
        <w:t xml:space="preserve"> </w:t>
      </w:r>
      <w:r>
        <w:rPr>
          <w:rFonts w:ascii="Times New Roman" w:hAnsi="Times New Roman" w:eastAsia="Times New Roman" w:cs="Times New Roman"/>
          <w:spacing w:val="-7"/>
        </w:rPr>
        <w:t xml:space="preserve">2020 </w:t>
      </w:r>
      <w:r>
        <w:rPr>
          <w:spacing w:val="-7"/>
        </w:rPr>
        <w:t>The version only needs to be submitted to Shen.</w:t>
      </w:r>
      <w:r>
        <w:rPr>
          <w:spacing w:val="-8"/>
        </w:rPr>
        <w:t>The organizer reported that the new requirements must also be reported to the Ethics Review Committee.</w:t>
      </w:r>
      <w:r>
        <w:rPr>
          <w:spacing w:val="-5"/>
        </w:rPr>
        <w:t>Ensure rapid transmission of safety risk information;</w:t>
      </w:r>
    </w:p>
    <w:p>
      <w:pPr>
        <w:pStyle w:val="BodyText"/>
        <w:ind w:left="39" w:right="83" w:firstLine="3"/>
        <w:spacing w:before="18" w:line="353" w:lineRule="auto"/>
        <w:rPr/>
      </w:pPr>
      <w:r>
        <w:rPr>
          <w:b/>
          <w:bCs/>
          <w:spacing w:val="-1"/>
        </w:rPr>
        <w:t>Simplified Informed Consent Process: The rigid requirement in the 2020 version that the Informed Consent Form (ICF) must include 20 specific items has been removed. Instead, the focus now emphasizes providing participants with sufficient information and ensuring their voluntary participation, thereby accommodating the flexible needs of different trial settings.</w:t>
      </w:r>
      <w:r>
        <w:rPr>
          <w:spacing w:val="-1"/>
        </w:rPr>
        <w:t/>
      </w:r>
      <w:r>
        <w:rPr>
          <w:spacing w:val="-53"/>
        </w:rPr>
        <w:t xml:space="preserve"> </w:t>
      </w:r>
      <w:r>
        <w:rPr>
          <w:rFonts w:ascii="Times New Roman" w:hAnsi="Times New Roman" w:eastAsia="Times New Roman" w:cs="Times New Roman"/>
          <w:spacing w:val="-1"/>
        </w:rPr>
        <w:t/>
      </w:r>
      <w:r>
        <w:rPr>
          <w:spacing w:val="-1"/>
        </w:rPr>
        <w:t/>
      </w:r>
      <w:r>
        <w:rPr>
          <w:spacing w:val="-2"/>
        </w:rPr>
        <w:t/>
      </w:r>
      <w:r>
        <w:rPr>
          <w:rFonts w:ascii="Times New Roman" w:hAnsi="Times New Roman" w:eastAsia="Times New Roman" w:cs="Times New Roman"/>
          <w:spacing w:val="-2"/>
        </w:rPr>
        <w:t/>
      </w:r>
      <w:r>
        <w:rPr>
          <w:spacing w:val="-2"/>
        </w:rPr>
        <w:t/>
      </w:r>
      <w:r>
        <w:rPr>
          <w:spacing w:val="-40"/>
        </w:rPr>
        <w:t xml:space="preserve"> </w:t>
      </w:r>
      <w:r>
        <w:rPr>
          <w:rFonts w:ascii="Times New Roman" w:hAnsi="Times New Roman" w:eastAsia="Times New Roman" w:cs="Times New Roman"/>
          <w:spacing w:val="-2"/>
        </w:rPr>
        <w:t/>
      </w:r>
      <w:r>
        <w:rPr>
          <w:rFonts w:ascii="Times New Roman" w:hAnsi="Times New Roman" w:eastAsia="Times New Roman" w:cs="Times New Roman"/>
          <w:spacing w:val="15"/>
          <w:w w:val="101"/>
        </w:rPr>
        <w:t xml:space="preserve"> </w:t>
      </w:r>
      <w:r>
        <w:rPr>
          <w:spacing w:val="-2"/>
        </w:rPr>
        <w:t/>
      </w:r>
      <w:r>
        <w:rPr>
          <w:spacing w:val="-1"/>
        </w:rPr>
        <w:t/>
      </w:r>
      <w:r>
        <w:rPr>
          <w:spacing w:val="-2"/>
        </w:rPr>
        <w:t/>
      </w:r>
    </w:p>
    <w:p>
      <w:pPr>
        <w:pStyle w:val="BodyText"/>
        <w:ind w:left="37"/>
        <w:spacing w:before="19" w:line="232" w:lineRule="auto"/>
        <w:rPr/>
      </w:pPr>
      <w:r>
        <w:rPr>
          <w:rFonts w:ascii="Times New Roman" w:hAnsi="Times New Roman" w:eastAsia="Times New Roman" w:cs="Times New Roman"/>
          <w:b/>
          <w:bCs/>
          <w:spacing w:val="-2"/>
        </w:rPr>
        <w:t>07.</w:t>
      </w:r>
      <w:r>
        <w:rPr>
          <w:b/>
          <w:bCs/>
          <w:spacing w:val="-2"/>
        </w:rPr>
        <w:t>Adverse Event Reporting: Process Optimization, Clear Accountability</w:t>
      </w:r>
    </w:p>
    <w:p>
      <w:pPr>
        <w:pStyle w:val="BodyText"/>
        <w:ind w:left="41"/>
        <w:spacing w:before="169" w:line="218" w:lineRule="auto"/>
        <w:rPr/>
      </w:pPr>
      <w:r>
        <w:rPr>
          <w:spacing w:val="-4"/>
        </w:rPr>
        <w:t>The adverse event reporting mechanism is clearer, and regulatory coordination is smoother:</w:t>
      </w:r>
    </w:p>
    <w:p>
      <w:pPr>
        <w:pStyle w:val="BodyText"/>
        <w:ind w:left="40" w:right="93" w:hanging="4"/>
        <w:spacing w:before="182" w:line="360" w:lineRule="auto"/>
        <w:rPr/>
      </w:pPr>
      <w:r>
        <w:rPr>
          <w:b/>
          <w:bCs/>
          <w:spacing w:val="-1"/>
        </w:rPr>
        <w:t>Report recipient supplementation and completion:</w:t>
      </w:r>
      <w:r>
        <w:rPr>
          <w:spacing w:val="-1"/>
        </w:rPr>
        <w:t>Safety Update Report During Drug Development（</w:t>
      </w:r>
      <w:r>
        <w:rPr>
          <w:rFonts w:ascii="Times New Roman" w:hAnsi="Times New Roman" w:eastAsia="Times New Roman" w:cs="Times New Roman"/>
          <w:spacing w:val="-1"/>
        </w:rPr>
        <w:t>DSUR</w:t>
      </w:r>
      <w:r>
        <w:rPr>
          <w:spacing w:val="-1"/>
        </w:rPr>
        <w:t>）Need to be the same</w:t>
      </w:r>
      <w:r>
        <w:rPr>
          <w:spacing w:val="-2"/>
        </w:rPr>
        <w:t>Step submitted to the National Medical Products Administration</w:t>
      </w:r>
      <w:r>
        <w:rPr>
          <w:spacing w:val="-4"/>
        </w:rPr>
        <w:t>The Drug Review Center of the Administration will no longer merely report to regulatory authorities;</w:t>
      </w:r>
    </w:p>
    <w:p>
      <w:pPr>
        <w:pStyle w:val="BodyText"/>
        <w:ind w:left="62" w:right="85" w:hanging="23"/>
        <w:spacing w:line="353" w:lineRule="auto"/>
        <w:rPr/>
      </w:pPr>
      <w:r>
        <w:rPr>
          <w:b/>
          <w:bCs/>
        </w:rPr>
        <w:t>Serious non-compliance with reported adjustments:</w:t>
      </w:r>
      <w:r>
        <w:rPr>
          <w:rFonts w:ascii="Times New Roman" w:hAnsi="Times New Roman" w:eastAsia="Times New Roman" w:cs="Times New Roman"/>
        </w:rPr>
        <w:t xml:space="preserve">2020  </w:t>
      </w:r>
      <w:r>
        <w:rPr/>
        <w:t>The requirement to report to the drug regulatory authority is strict.</w:t>
      </w:r>
      <w:r>
        <w:rPr>
          <w:spacing w:val="-1"/>
        </w:rPr>
        <w:t>Regarding the issue of non-compliance, the new version has been adjusted to:</w:t>
      </w:r>
      <w:r>
        <w:rPr>
          <w:spacing w:val="-3"/>
        </w:rPr>
        <w:t>Reporting to the Ethics Review Committee is more consistent with the core mission of ethical oversight.</w:t>
      </w:r>
    </w:p>
    <w:p>
      <w:pPr>
        <w:pStyle w:val="BodyText"/>
        <w:ind w:left="37"/>
        <w:spacing w:before="19" w:line="233" w:lineRule="auto"/>
        <w:rPr/>
      </w:pPr>
      <w:r>
        <w:rPr>
          <w:rFonts w:ascii="Times New Roman" w:hAnsi="Times New Roman" w:eastAsia="Times New Roman" w:cs="Times New Roman"/>
          <w:b/>
          <w:bCs/>
          <w:spacing w:val="-2"/>
        </w:rPr>
        <w:t>08.</w:t>
      </w:r>
      <w:r>
        <w:rPr>
          <w:b/>
          <w:bCs/>
          <w:spacing w:val="-2"/>
        </w:rPr>
        <w:t>Management of Investigational Medications: Refining Requirements to Suit Special Product Categories</w:t>
      </w:r>
    </w:p>
    <w:p>
      <w:pPr>
        <w:pStyle w:val="BodyText"/>
        <w:ind w:left="38"/>
        <w:spacing w:before="167" w:line="220" w:lineRule="auto"/>
        <w:rPr/>
      </w:pPr>
      <w:r>
        <w:rPr>
          <w:spacing w:val="-3"/>
        </w:rPr>
        <w:t>The management rules for investigational drugs are more aligned with real-world application scenarios:</w:t>
      </w:r>
    </w:p>
    <w:p>
      <w:pPr>
        <w:pStyle w:val="BodyText"/>
        <w:ind w:left="46" w:right="79" w:hanging="3"/>
        <w:spacing w:before="181" w:line="360" w:lineRule="auto"/>
        <w:rPr/>
      </w:pPr>
      <w:r>
        <w:rPr>
          <w:b/>
          <w:bCs/>
          <w:spacing w:val="3"/>
        </w:rPr>
        <w:t>Flexibilization of management personnel qualifications: The designation of management responsibility will be adjusted from “pharmacists or other personnel” to “specialized personnel with appropriate qualifications,” no longer restricted to those with a pharmacy background, thus better aligning with the staffing needs of different institutions.</w:t>
      </w:r>
      <w:r>
        <w:rPr>
          <w:spacing w:val="3"/>
        </w:rPr>
        <w:t/>
      </w:r>
      <w:r>
        <w:rPr>
          <w:rFonts w:ascii="Times New Roman" w:hAnsi="Times New Roman" w:eastAsia="Times New Roman" w:cs="Times New Roman"/>
          <w:spacing w:val="3"/>
        </w:rPr>
        <w:t/>
      </w:r>
      <w:r>
        <w:rPr>
          <w:spacing w:val="3"/>
        </w:rPr>
        <w:t/>
      </w:r>
      <w:r>
        <w:rPr>
          <w:rFonts w:ascii="Times New Roman" w:hAnsi="Times New Roman" w:eastAsia="Times New Roman" w:cs="Times New Roman"/>
          <w:spacing w:val="3"/>
        </w:rPr>
        <w:t/>
      </w:r>
      <w:r>
        <w:rPr>
          <w:spacing w:val="3"/>
        </w:rPr>
        <w:t/>
      </w:r>
      <w:r>
        <w:rPr>
          <w:rFonts w:ascii="Times New Roman" w:hAnsi="Times New Roman" w:eastAsia="Times New Roman" w:cs="Times New Roman"/>
          <w:spacing w:val="3"/>
        </w:rPr>
        <w:t/>
      </w:r>
      <w:r>
        <w:rPr>
          <w:spacing w:val="3"/>
        </w:rPr>
        <w:t/>
      </w:r>
      <w:r>
        <w:rPr>
          <w:spacing w:val="-3"/>
        </w:rPr>
        <w:t/>
      </w:r>
      <w:r>
        <w:rPr>
          <w:rFonts w:ascii="Times New Roman" w:hAnsi="Times New Roman" w:eastAsia="Times New Roman" w:cs="Times New Roman"/>
          <w:spacing w:val="-3"/>
        </w:rPr>
        <w:t/>
      </w:r>
      <w:r>
        <w:rPr>
          <w:spacing w:val="-3"/>
        </w:rPr>
        <w:t/>
      </w:r>
    </w:p>
    <w:p>
      <w:pPr>
        <w:pStyle w:val="BodyText"/>
        <w:ind w:left="38" w:right="85"/>
        <w:spacing w:line="360" w:lineRule="auto"/>
        <w:rPr/>
      </w:pPr>
      <w:r>
        <w:rPr>
          <w:b/>
          <w:bCs/>
          <w:spacing w:val="-3"/>
        </w:rPr>
        <w:t>Specialized Regulations for Vaccine Management:</w:t>
      </w:r>
      <w:r>
        <w:rPr>
          <w:spacing w:val="-3"/>
        </w:rPr>
        <w:t>Clearly define the procedures for the procurement, storage, transportation, and administration of vaccine-related investigational products.</w:t>
      </w:r>
      <w:r>
        <w:rPr>
          <w:spacing w:val="-4"/>
        </w:rPr>
        <w:t>Must strictly comply with national regulations.</w:t>
      </w:r>
      <w:r>
        <w:rPr>
          <w:spacing w:val="-4"/>
        </w:rPr>
        <w:t>Special management regulations to strengthen safety controls over biological products;</w:t>
      </w:r>
    </w:p>
    <w:p>
      <w:pPr>
        <w:pStyle w:val="BodyText"/>
        <w:ind w:left="41" w:right="93" w:firstLine="13"/>
        <w:spacing w:line="360" w:lineRule="auto"/>
        <w:rPr/>
      </w:pPr>
      <w:r>
        <w:rPr>
          <w:b/>
          <w:bCs/>
          <w:spacing w:val="-3"/>
        </w:rPr>
        <w:t>Optimization of sample retention requirements: The mandatory requirement to "retain samples until the completion of clinical trial data analysis" is removed and replaced with "compliance with applicable requirements," thereby accommodating the stability characteristics of different categories of pharmaceutical products.</w:t>
      </w:r>
      <w:r>
        <w:rPr>
          <w:spacing w:val="-3"/>
        </w:rPr>
        <w:t/>
      </w:r>
      <w:r>
        <w:rPr>
          <w:rFonts w:ascii="Times New Roman" w:hAnsi="Times New Roman" w:eastAsia="Times New Roman" w:cs="Times New Roman"/>
          <w:spacing w:val="-3"/>
        </w:rPr>
        <w:t/>
      </w:r>
      <w:r>
        <w:rPr>
          <w:spacing w:val="-3"/>
        </w:rPr>
        <w:t/>
      </w:r>
      <w:r>
        <w:rPr>
          <w:spacing w:val="-4"/>
        </w:rPr>
        <w:t/>
      </w:r>
      <w:r>
        <w:rPr>
          <w:rFonts w:ascii="Times New Roman" w:hAnsi="Times New Roman" w:eastAsia="Times New Roman" w:cs="Times New Roman"/>
          <w:spacing w:val="-4"/>
        </w:rPr>
        <w:t/>
      </w:r>
      <w:r>
        <w:rPr>
          <w:rFonts w:ascii="Times New Roman" w:hAnsi="Times New Roman" w:eastAsia="Times New Roman" w:cs="Times New Roman"/>
          <w:spacing w:val="-32"/>
        </w:rPr>
        <w:t xml:space="preserve"> </w:t>
      </w:r>
      <w:r>
        <w:rPr>
          <w:spacing w:val="-4"/>
        </w:rPr>
        <w:t/>
      </w:r>
      <w:r>
        <w:rPr>
          <w:rFonts w:ascii="Times New Roman" w:hAnsi="Times New Roman" w:eastAsia="Times New Roman" w:cs="Times New Roman"/>
          <w:spacing w:val="-4"/>
        </w:rPr>
        <w:t/>
      </w:r>
      <w:r>
        <w:rPr>
          <w:spacing w:val="-4"/>
        </w:rPr>
        <w:t/>
      </w:r>
      <w:r>
        <w:rPr>
          <w:rFonts w:ascii="Times New Roman" w:hAnsi="Times New Roman" w:eastAsia="Times New Roman" w:cs="Times New Roman"/>
          <w:spacing w:val="-4"/>
        </w:rPr>
        <w:t/>
      </w:r>
      <w:r>
        <w:rPr>
          <w:rFonts w:ascii="Times New Roman" w:hAnsi="Times New Roman" w:eastAsia="Times New Roman" w:cs="Times New Roman"/>
          <w:spacing w:val="-32"/>
        </w:rPr>
        <w:t xml:space="preserve"> </w:t>
      </w:r>
      <w:r>
        <w:rPr>
          <w:spacing w:val="-4"/>
        </w:rPr>
        <w:t/>
      </w:r>
      <w:r>
        <w:rPr>
          <w:spacing w:val="-4"/>
        </w:rPr>
        <w:t/>
      </w:r>
    </w:p>
    <w:p>
      <w:pPr>
        <w:pStyle w:val="BodyText"/>
        <w:ind w:left="37"/>
        <w:spacing w:line="233" w:lineRule="auto"/>
        <w:rPr/>
      </w:pPr>
      <w:r>
        <w:rPr>
          <w:rFonts w:ascii="Times New Roman" w:hAnsi="Times New Roman" w:eastAsia="Times New Roman" w:cs="Times New Roman"/>
          <w:b/>
          <w:bCs/>
          <w:spacing w:val="-2"/>
        </w:rPr>
        <w:t>09.</w:t>
      </w:r>
      <w:r>
        <w:rPr>
          <w:b/>
          <w:bCs/>
          <w:spacing w:val="-2"/>
        </w:rPr>
        <w:t>File Management Restructuring: Decentralize and Integrate, Assign Responsibility to Specific Individuals</w:t>
      </w:r>
    </w:p>
    <w:p>
      <w:pPr>
        <w:pStyle w:val="BodyText"/>
        <w:ind w:left="41"/>
        <w:spacing w:before="168" w:line="233" w:lineRule="auto"/>
        <w:rPr/>
      </w:pPr>
      <w:r>
        <w:rPr>
          <w:spacing w:val="-2"/>
        </w:rPr>
        <w:t>Cancel</w:t>
      </w:r>
      <w:r>
        <w:rPr>
          <w:spacing w:val="-44"/>
        </w:rPr>
        <w:t xml:space="preserve"> </w:t>
      </w:r>
      <w:r>
        <w:rPr>
          <w:rFonts w:ascii="Times New Roman" w:hAnsi="Times New Roman" w:eastAsia="Times New Roman" w:cs="Times New Roman"/>
          <w:spacing w:val="-2"/>
        </w:rPr>
        <w:t xml:space="preserve">2020 </w:t>
      </w:r>
      <w:r>
        <w:rPr>
          <w:spacing w:val="-2"/>
        </w:rPr>
        <w:t>Separate edition</w:t>
      </w:r>
      <w:r>
        <w:rPr>
          <w:rFonts w:ascii="Times New Roman" w:hAnsi="Times New Roman" w:eastAsia="Times New Roman" w:cs="Times New Roman"/>
          <w:spacing w:val="-2"/>
        </w:rPr>
        <w:t>“</w:t>
      </w:r>
      <w:r>
        <w:rPr>
          <w:spacing w:val="-2"/>
        </w:rPr>
        <w:t>Essential file management</w:t>
      </w:r>
      <w:r>
        <w:rPr>
          <w:rFonts w:ascii="Times New Roman" w:hAnsi="Times New Roman" w:eastAsia="Times New Roman" w:cs="Times New Roman"/>
          <w:spacing w:val="-2"/>
        </w:rPr>
        <w:t>”</w:t>
      </w:r>
      <w:r>
        <w:rPr>
          <w:spacing w:val="-2"/>
        </w:rPr>
        <w:t>Chapter: Break down and integrate the relevant requirements into the responsibilities of each party.</w:t>
      </w:r>
    </w:p>
    <w:p>
      <w:pPr>
        <w:pStyle w:val="BodyText"/>
        <w:ind w:left="38"/>
        <w:spacing w:before="162" w:line="219" w:lineRule="auto"/>
        <w:rPr/>
      </w:pPr>
      <w:r>
        <w:rPr>
          <w:spacing w:val="-2"/>
        </w:rPr>
        <w:t>The ethics review committee must properly preserve the complete set of materials, including review records, member information, and submitted documents.</w:t>
      </w:r>
    </w:p>
    <w:p>
      <w:pPr>
        <w:pStyle w:val="BodyText"/>
        <w:ind w:left="40"/>
        <w:spacing w:before="186" w:line="219" w:lineRule="auto"/>
        <w:rPr/>
      </w:pPr>
      <w:r>
        <w:rPr>
          <w:spacing w:val="-2"/>
        </w:rPr>
        <w:t>The principal investigator must retain trial data, informed consent forms, protocol execution records, and the like.</w:t>
      </w:r>
      <w:r>
        <w:rPr>
          <w:spacing w:val="-3"/>
        </w:rPr>
        <w:t>Key document;</w:t>
      </w:r>
    </w:p>
    <w:p>
      <w:pPr>
        <w:spacing w:line="219" w:lineRule="auto"/>
        <w:sectPr>
          <w:headerReference w:type="default" r:id="rId5"/>
          <w:footerReference w:type="default" r:id="rId6"/>
          <w:pgSz w:w="11905" w:h="16839"/>
          <w:pgMar w:top="1167" w:right="992" w:bottom="1576" w:left="1051" w:header="821" w:footer="1373" w:gutter="0"/>
        </w:sectPr>
        <w:rPr/>
      </w:pPr>
    </w:p>
    <w:p>
      <w:pPr>
        <w:spacing w:line="308" w:lineRule="auto"/>
        <w:rPr>
          <w:rFonts w:ascii="Arial"/>
          <w:sz w:val="21"/>
        </w:rPr>
      </w:pPr>
      <w:r/>
    </w:p>
    <w:p>
      <w:pPr>
        <w:pStyle w:val="BodyText"/>
        <w:ind w:left="69"/>
        <w:spacing w:before="78" w:line="218" w:lineRule="auto"/>
        <w:rPr/>
      </w:pPr>
      <w:r>
        <w:rPr>
          <w:spacing w:val="-4"/>
        </w:rPr>
        <w:t>The sponsor shall archive monitoring reports, system validation documents, risk assessment records, and other relevant materials.</w:t>
      </w:r>
    </w:p>
    <w:p>
      <w:pPr>
        <w:pStyle w:val="BodyText"/>
        <w:ind w:left="60"/>
        <w:spacing w:before="181" w:line="220" w:lineRule="auto"/>
        <w:rPr/>
      </w:pPr>
      <w:r>
        <w:rPr>
          <w:spacing w:val="-2"/>
        </w:rPr>
        <w:t>Clearly, the transfer of ownership of required records must comply with applicable laws and regulations to avoid subsequent...</w:t>
      </w:r>
      <w:r>
        <w:rPr>
          <w:spacing w:val="-3"/>
        </w:rPr>
        <w:t>Pending dispute.</w:t>
      </w:r>
    </w:p>
    <w:p>
      <w:pPr>
        <w:pStyle w:val="BodyText"/>
        <w:ind w:left="44"/>
        <w:spacing w:before="186" w:line="233" w:lineRule="auto"/>
        <w:rPr/>
      </w:pPr>
      <w:r>
        <w:rPr>
          <w:rFonts w:ascii="Times New Roman" w:hAnsi="Times New Roman" w:eastAsia="Times New Roman" w:cs="Times New Roman"/>
          <w:b/>
          <w:bCs/>
          <w:spacing w:val="-3"/>
        </w:rPr>
        <w:t>10.</w:t>
      </w:r>
      <w:r>
        <w:rPr>
          <w:b/>
          <w:bCs/>
          <w:spacing w:val="-3"/>
        </w:rPr>
        <w:t>Innovative Sponsor Management: Introduction</w:t>
      </w:r>
      <w:r>
        <w:rPr>
          <w:spacing w:val="-3"/>
        </w:rPr>
        <w:t xml:space="preserve"> </w:t>
      </w:r>
      <w:r>
        <w:rPr>
          <w:rFonts w:ascii="Times New Roman" w:hAnsi="Times New Roman" w:eastAsia="Times New Roman" w:cs="Times New Roman"/>
          <w:b/>
          <w:bCs/>
          <w:spacing w:val="-3"/>
        </w:rPr>
        <w:t>RBM</w:t>
      </w:r>
      <w:r>
        <w:rPr>
          <w:b/>
          <w:bCs/>
          <w:spacing w:val="-3"/>
        </w:rPr>
        <w:t>, optimize the process</w:t>
      </w:r>
    </w:p>
    <w:p>
      <w:pPr>
        <w:pStyle w:val="BodyText"/>
        <w:ind w:left="39"/>
        <w:spacing w:before="161" w:line="219" w:lineRule="auto"/>
        <w:rPr/>
      </w:pPr>
      <w:r>
        <w:rPr>
          <w:spacing w:val="-2"/>
        </w:rPr>
        <w:t>As the ultimate responsible party for clinical trials, the sponsor’s management must...</w:t>
      </w:r>
      <w:r>
        <w:rPr>
          <w:spacing w:val="-3"/>
        </w:rPr>
        <w:t>Seek to achieve a fundamental upgrade:</w:t>
      </w:r>
    </w:p>
    <w:p>
      <w:pPr>
        <w:pStyle w:val="BodyText"/>
        <w:ind w:left="57" w:right="87" w:hanging="18"/>
        <w:spacing w:before="186" w:line="350" w:lineRule="auto"/>
        <w:rPr/>
      </w:pPr>
      <w:r>
        <w:rPr>
          <w:b/>
          <w:bCs/>
          <w:spacing w:val="-1"/>
        </w:rPr>
        <w:t>Standardization of inspection and audit principles:</w:t>
      </w:r>
      <w:r>
        <w:rPr>
          <w:spacing w:val="-1"/>
        </w:rPr>
        <w:t>Delete</w:t>
      </w:r>
      <w:r>
        <w:rPr>
          <w:spacing w:val="-35"/>
        </w:rPr>
        <w:t xml:space="preserve"> </w:t>
      </w:r>
      <w:r>
        <w:rPr>
          <w:rFonts w:ascii="Times New Roman" w:hAnsi="Times New Roman" w:eastAsia="Times New Roman" w:cs="Times New Roman"/>
          <w:spacing w:val="-1"/>
        </w:rPr>
        <w:t xml:space="preserve">2020 </w:t>
      </w:r>
      <w:r>
        <w:rPr>
          <w:spacing w:val="-1"/>
        </w:rPr>
        <w:t>The section on the monitor's responsibilities, monitoring plan, etc.</w:t>
      </w:r>
      <w:r>
        <w:rPr>
          <w:spacing w:val="-46"/>
        </w:rPr>
        <w:t xml:space="preserve"> </w:t>
      </w:r>
      <w:r>
        <w:rPr>
          <w:rFonts w:ascii="Times New Roman" w:hAnsi="Times New Roman" w:eastAsia="Times New Roman" w:cs="Times New Roman"/>
          <w:spacing w:val="-1"/>
        </w:rPr>
        <w:t xml:space="preserve">3 </w:t>
      </w:r>
      <w:r>
        <w:rPr>
          <w:spacing w:val="-1"/>
        </w:rPr>
        <w:t>Detailed terms and conditions, revised to be risk-based.</w:t>
      </w:r>
      <w:r>
        <w:rPr>
          <w:spacing w:val="-3"/>
        </w:rPr>
        <w:t>The monitoring principles allow sponsors to flexibly develop management strategies based on the complexity of the trial.</w:t>
      </w:r>
      <w:r>
        <w:rPr>
          <w:spacing w:val="-4"/>
        </w:rPr>
        <w:t>Plan;</w:t>
      </w:r>
    </w:p>
    <w:p>
      <w:pPr>
        <w:pStyle w:val="BodyText"/>
        <w:ind w:left="57" w:right="89" w:hanging="17"/>
        <w:spacing w:before="25" w:line="360" w:lineRule="auto"/>
        <w:rPr/>
      </w:pPr>
      <w:r>
        <w:rPr>
          <w:b/>
          <w:bCs/>
          <w:spacing w:val="-3"/>
        </w:rPr>
        <w:t>Strict control over data modification:</w:t>
      </w:r>
      <w:r>
        <w:rPr>
          <w:spacing w:val="-3"/>
        </w:rPr>
        <w:t>The sponsor shall not unilaterally change the principal investigator or the trial participants who have been entered.</w:t>
      </w:r>
      <w:r>
        <w:rPr>
          <w:spacing w:val="-4"/>
        </w:rPr>
        <w:t>The data requires modification.</w:t>
      </w:r>
      <w:r>
        <w:rPr>
          <w:spacing w:val="-4"/>
        </w:rPr>
        <w:t>Yes, it must be obtained.</w:t>
      </w:r>
      <w:r>
        <w:rPr>
          <w:spacing w:val="-51"/>
        </w:rPr>
        <w:t xml:space="preserve"> </w:t>
      </w:r>
      <w:r>
        <w:rPr>
          <w:rFonts w:ascii="Times New Roman" w:hAnsi="Times New Roman" w:eastAsia="Times New Roman" w:cs="Times New Roman"/>
          <w:spacing w:val="-4"/>
        </w:rPr>
        <w:t>PI</w:t>
      </w:r>
      <w:r>
        <w:rPr>
          <w:spacing w:val="-4"/>
        </w:rPr>
        <w:t>Obtain written consent and fully document the modification history;</w:t>
      </w:r>
    </w:p>
    <w:p>
      <w:pPr>
        <w:pStyle w:val="BodyText"/>
        <w:ind w:left="43" w:right="88" w:firstLine="5"/>
        <w:spacing w:before="2" w:line="350" w:lineRule="auto"/>
        <w:rPr/>
      </w:pPr>
      <w:r>
        <w:rPr>
          <w:b/>
          <w:bCs/>
          <w:spacing w:val="-1"/>
        </w:rPr>
        <w:t>Multicenter Trial Integration Guidelines:</w:t>
      </w:r>
      <w:r>
        <w:rPr>
          <w:spacing w:val="-1"/>
        </w:rPr>
        <w:t>Cancel</w:t>
      </w:r>
      <w:r>
        <w:rPr>
          <w:spacing w:val="-48"/>
        </w:rPr>
        <w:t xml:space="preserve"> </w:t>
      </w:r>
      <w:r>
        <w:rPr>
          <w:rFonts w:ascii="Times New Roman" w:hAnsi="Times New Roman" w:eastAsia="Times New Roman" w:cs="Times New Roman"/>
          <w:spacing w:val="-1"/>
        </w:rPr>
        <w:t>2020</w:t>
      </w:r>
      <w:r>
        <w:rPr>
          <w:rFonts w:ascii="Times New Roman" w:hAnsi="Times New Roman" w:eastAsia="Times New Roman" w:cs="Times New Roman"/>
          <w:spacing w:val="18"/>
          <w:w w:val="101"/>
        </w:rPr>
        <w:t xml:space="preserve"> </w:t>
      </w:r>
      <w:r>
        <w:rPr>
          <w:spacing w:val="-1"/>
        </w:rPr>
        <w:t>Specific multi-center trial provisions, which will address the relevant requirements</w:t>
      </w:r>
      <w:r>
        <w:rPr>
          <w:spacing w:val="-2"/>
        </w:rPr>
        <w:t>Seeking integration of experimental design and data.</w:t>
      </w:r>
      <w:r>
        <w:rPr>
          <w:spacing w:val="-3"/>
        </w:rPr>
        <w:t>In general governance rules, avoid duplicating clauses.</w:t>
      </w:r>
    </w:p>
    <w:p>
      <w:pPr>
        <w:spacing w:line="458" w:lineRule="auto"/>
        <w:rPr>
          <w:rFonts w:ascii="Arial"/>
          <w:sz w:val="21"/>
        </w:rPr>
      </w:pPr>
      <w:r/>
    </w:p>
    <w:p>
      <w:pPr>
        <w:pStyle w:val="BodyText"/>
        <w:ind w:left="44"/>
        <w:spacing w:before="87"/>
        <w:outlineLvl w:val="0"/>
        <w:rPr>
          <w:sz w:val="27"/>
          <w:szCs w:val="27"/>
        </w:rPr>
      </w:pPr>
      <w:r>
        <w:rPr>
          <w:sz w:val="27"/>
          <w:szCs w:val="27"/>
          <w:b/>
          <w:bCs/>
          <w:spacing w:val="7"/>
        </w:rPr>
        <w:t>Two</w:t>
      </w:r>
      <w:r>
        <w:rPr>
          <w:rFonts w:ascii="Times New Roman" w:hAnsi="Times New Roman" w:eastAsia="Times New Roman" w:cs="Times New Roman"/>
          <w:sz w:val="27"/>
          <w:szCs w:val="27"/>
          <w:b/>
          <w:bCs/>
          <w:spacing w:val="7"/>
        </w:rPr>
        <w:t xml:space="preserve">. </w:t>
      </w:r>
      <w:r>
        <w:rPr>
          <w:sz w:val="27"/>
          <w:szCs w:val="27"/>
          <w:b/>
          <w:bCs/>
          <w:spacing w:val="7"/>
        </w:rPr>
        <w:t>《</w:t>
      </w:r>
      <w:r>
        <w:rPr>
          <w:rFonts w:ascii="Times New Roman" w:hAnsi="Times New Roman" w:eastAsia="Times New Roman" w:cs="Times New Roman"/>
          <w:sz w:val="27"/>
          <w:szCs w:val="27"/>
          <w:b/>
          <w:bCs/>
          <w:spacing w:val="7"/>
        </w:rPr>
        <w:t xml:space="preserve">20251028 </w:t>
      </w:r>
      <w:r>
        <w:rPr>
          <w:sz w:val="27"/>
          <w:szCs w:val="27"/>
          <w:b/>
          <w:bCs/>
          <w:spacing w:val="7"/>
        </w:rPr>
        <w:t>Guiding Principles for Clinical Trials of Drugs under the Master Protocol Design (Draft for Comments)</w:t>
      </w:r>
    </w:p>
    <w:p>
      <w:pPr>
        <w:pStyle w:val="BodyText"/>
        <w:ind w:left="41" w:hanging="2"/>
        <w:spacing w:before="215" w:line="361" w:lineRule="auto"/>
        <w:jc w:val="both"/>
        <w:rPr/>
      </w:pPr>
      <w:r>
        <w:rPr>
          <w:spacing w:val="-4"/>
        </w:rPr>
        <w:t>This guideline is intended to guide applicants in conducting studies employing a master protocol design in a scientific and standardized manner.</w:t>
      </w:r>
      <w:r>
        <w:rPr>
          <w:spacing w:val="-5"/>
        </w:rPr>
        <w:t>Clinical drug trials,</w:t>
      </w:r>
      <w:r>
        <w:rPr>
          <w:spacing w:val="-51"/>
        </w:rPr>
        <w:t xml:space="preserve"> </w:t>
      </w:r>
      <w:r>
        <w:rPr>
          <w:spacing w:val="-5"/>
        </w:rPr>
        <w:t>Enhance drug development</w:t>
      </w:r>
      <w:r>
        <w:rPr/>
        <w:t>Efficiency, accelerating the launch of innovative drugs while safeguarding the rights and interests of trial participants.</w:t>
      </w:r>
      <w:r>
        <w:rPr>
          <w:spacing w:val="-1"/>
        </w:rPr>
        <w:t>This guideline focuses on the definition and types of master plan designs.</w:t>
      </w:r>
      <w:r>
        <w:rPr>
          <w:spacing w:val="-1"/>
        </w:rPr>
        <w:t>Design elements, implementation guidelines, and regulatory requirements—proposing a series of scientific, standardized, and distinctive...</w:t>
      </w:r>
      <w:r>
        <w:rPr>
          <w:spacing w:val="-2"/>
        </w:rPr>
        <w:t>Forward-looking guidance and advice.</w:t>
      </w:r>
    </w:p>
    <w:p>
      <w:pPr>
        <w:pStyle w:val="BodyText"/>
        <w:ind w:left="39"/>
        <w:spacing w:before="1" w:line="218" w:lineRule="auto"/>
        <w:rPr/>
      </w:pPr>
      <w:r>
        <w:rPr>
          <w:spacing w:val="-6"/>
        </w:rPr>
        <w:t>The main framework of this guideline is as follows:</w:t>
      </w:r>
    </w:p>
    <w:p>
      <w:pPr>
        <w:ind w:firstLine="28"/>
        <w:spacing w:before="194" w:line="5983" w:lineRule="exact"/>
        <w:rPr/>
      </w:pPr>
      <w:r>
        <w:rPr>
          <w:position w:val="-119"/>
        </w:rPr>
        <w:drawing>
          <wp:inline distT="0" distB="0" distL="0" distR="0">
            <wp:extent cx="6188202" cy="3799204"/>
            <wp:effectExtent l="0" t="0" r="0" b="0"/>
            <wp:docPr id="4" name="IM 4"/>
            <wp:cNvGraphicFramePr/>
            <a:graphic>
              <a:graphicData uri="http://schemas.openxmlformats.org/drawingml/2006/picture">
                <pic:pic>
                  <pic:nvPicPr>
                    <pic:cNvPr id="4" name="IM 4"/>
                    <pic:cNvPicPr/>
                  </pic:nvPicPr>
                  <pic:blipFill>
                    <a:blip r:embed="rId9"/>
                    <a:stretch>
                      <a:fillRect/>
                    </a:stretch>
                  </pic:blipFill>
                  <pic:spPr>
                    <a:xfrm rot="0">
                      <a:off x="0" y="0"/>
                      <a:ext cx="6188202" cy="3799204"/>
                    </a:xfrm>
                    <a:prstGeom prst="rect">
                      <a:avLst/>
                    </a:prstGeom>
                  </pic:spPr>
                </pic:pic>
              </a:graphicData>
            </a:graphic>
          </wp:inline>
        </w:drawing>
      </w:r>
    </w:p>
    <w:p>
      <w:pPr>
        <w:spacing w:line="5983" w:lineRule="exact"/>
        <w:sectPr>
          <w:headerReference w:type="default" r:id="rId7"/>
          <w:footerReference w:type="default" r:id="rId8"/>
          <w:pgSz w:w="11905" w:h="16839"/>
          <w:pgMar w:top="1167" w:right="989" w:bottom="1576" w:left="1051" w:header="821" w:footer="1371" w:gutter="0"/>
        </w:sectPr>
        <w:rPr/>
      </w:pPr>
    </w:p>
    <w:p>
      <w:pPr>
        <w:spacing w:line="356" w:lineRule="auto"/>
        <w:rPr>
          <w:rFonts w:ascii="Arial"/>
          <w:sz w:val="21"/>
        </w:rPr>
      </w:pPr>
      <w:r/>
    </w:p>
    <w:p>
      <w:pPr>
        <w:pStyle w:val="BodyText"/>
        <w:ind w:left="459" w:right="129" w:hanging="420"/>
        <w:spacing w:before="87" w:line="407" w:lineRule="auto"/>
        <w:outlineLvl w:val="0"/>
        <w:rPr>
          <w:sz w:val="27"/>
          <w:szCs w:val="27"/>
        </w:rPr>
      </w:pPr>
      <w:r>
        <w:rPr>
          <w:sz w:val="27"/>
          <w:szCs w:val="27"/>
          <w:b/>
          <w:bCs/>
          <w:spacing w:val="4"/>
        </w:rPr>
        <w:t>Three</w:t>
      </w:r>
      <w:r>
        <w:rPr>
          <w:rFonts w:ascii="Times New Roman" w:hAnsi="Times New Roman" w:eastAsia="Times New Roman" w:cs="Times New Roman"/>
          <w:sz w:val="27"/>
          <w:szCs w:val="27"/>
          <w:b/>
          <w:bCs/>
          <w:spacing w:val="4"/>
        </w:rPr>
        <w:t xml:space="preserve">. 20251110  </w:t>
      </w:r>
      <w:r>
        <w:rPr>
          <w:sz w:val="27"/>
          <w:szCs w:val="27"/>
          <w:b/>
          <w:bCs/>
          <w:spacing w:val="4"/>
        </w:rPr>
        <w:t>Evaluation of Adhesion, Irritation, and Sensitization in Transdermal and Topical Drug Delivery Systems for Generic Chemical Pharmaceuticals</w:t>
      </w:r>
      <w:r>
        <w:rPr>
          <w:sz w:val="27"/>
          <w:szCs w:val="27"/>
          <w:b/>
          <w:bCs/>
          <w:spacing w:val="6"/>
        </w:rPr>
        <w:t>Guiding Principles for Bed Testing Technology (Draft for Comments)</w:t>
      </w:r>
    </w:p>
    <w:p>
      <w:pPr>
        <w:pStyle w:val="BodyText"/>
        <w:ind w:left="33" w:right="121" w:firstLine="5"/>
        <w:spacing w:before="1" w:line="359" w:lineRule="auto"/>
        <w:rPr/>
      </w:pPr>
      <w:r>
        <w:rPr>
          <w:spacing w:val="-2"/>
        </w:rPr>
        <w:t>According to the requirements set forth in this guideline, chemical generic drugs for transdermal and topical drug delivery systems (TDS)—including solid dosage forms that may be described or referred to as patches, transdermal patches, or sustained-release films—should undergo studies on adhesion performance, skin irritation, and sensitization potential. Both the EMA and the FDA have such requirements, whereas previously, China had not imposed this requirement.</w:t>
      </w:r>
      <w:r>
        <w:rPr>
          <w:rFonts w:ascii="Times New Roman" w:hAnsi="Times New Roman" w:eastAsia="Times New Roman" w:cs="Times New Roman"/>
          <w:spacing w:val="-2"/>
        </w:rPr>
        <w:t/>
      </w:r>
      <w:r>
        <w:rPr>
          <w:spacing w:val="-3"/>
        </w:rPr>
        <w:t/>
      </w:r>
      <w:r>
        <w:rPr>
          <w:b/>
          <w:bCs/>
          <w:spacing w:val="-3"/>
        </w:rPr>
        <w:t/>
      </w:r>
      <w:r>
        <w:rPr>
          <w:spacing w:val="-3"/>
        </w:rPr>
        <w:t/>
      </w:r>
      <w:r>
        <w:rPr>
          <w:spacing w:val="-4"/>
        </w:rPr>
        <w:t/>
      </w:r>
      <w:r>
        <w:rPr>
          <w:spacing w:val="11"/>
        </w:rPr>
        <w:t/>
      </w:r>
      <w:r>
        <w:rPr>
          <w:spacing w:val="-4"/>
        </w:rPr>
        <w:t/>
      </w:r>
      <w:r>
        <w:rPr/>
        <w:t xml:space="preserve"> </w:t>
      </w:r>
      <w:r>
        <w:rPr>
          <w:rFonts w:ascii="Times New Roman" w:hAnsi="Times New Roman" w:eastAsia="Times New Roman" w:cs="Times New Roman"/>
          <w:spacing w:val="-1"/>
        </w:rPr>
        <w:t/>
      </w:r>
      <w:r>
        <w:rPr>
          <w:spacing w:val="-1"/>
        </w:rPr>
        <w:t/>
      </w:r>
      <w:r>
        <w:rPr>
          <w:spacing w:val="-42"/>
        </w:rPr>
        <w:t xml:space="preserve"> </w:t>
      </w:r>
      <w:r>
        <w:rPr>
          <w:rFonts w:ascii="Times New Roman" w:hAnsi="Times New Roman" w:eastAsia="Times New Roman" w:cs="Times New Roman"/>
          <w:spacing w:val="-1"/>
        </w:rPr>
        <w:t/>
      </w:r>
      <w:r>
        <w:rPr>
          <w:spacing w:val="-1"/>
        </w:rPr>
        <w:t/>
      </w:r>
    </w:p>
    <w:p>
      <w:pPr>
        <w:pStyle w:val="BodyText"/>
        <w:ind w:left="40"/>
        <w:spacing w:before="1" w:line="218" w:lineRule="auto"/>
        <w:rPr/>
      </w:pPr>
      <w:r>
        <w:rPr>
          <w:spacing w:val="-1"/>
        </w:rPr>
        <w:t>After the guideline is finalized, regarding transdermal and topical drug delivery systems...（</w:t>
      </w:r>
      <w:r>
        <w:rPr>
          <w:rFonts w:ascii="Times New Roman" w:hAnsi="Times New Roman" w:eastAsia="Times New Roman" w:cs="Times New Roman"/>
          <w:spacing w:val="-1"/>
        </w:rPr>
        <w:t>TDS</w:t>
      </w:r>
      <w:r>
        <w:rPr>
          <w:spacing w:val="-1"/>
        </w:rPr>
        <w:t>）Chemical generic drugs should undergo the above-mentioned studies.</w:t>
      </w:r>
    </w:p>
    <w:p>
      <w:pPr>
        <w:spacing w:line="308" w:lineRule="auto"/>
        <w:rPr>
          <w:rFonts w:ascii="Arial"/>
          <w:sz w:val="21"/>
        </w:rPr>
      </w:pPr>
      <w:r/>
    </w:p>
    <w:p>
      <w:pPr>
        <w:spacing w:line="309" w:lineRule="auto"/>
        <w:rPr>
          <w:rFonts w:ascii="Arial"/>
          <w:sz w:val="21"/>
        </w:rPr>
      </w:pPr>
      <w:r/>
    </w:p>
    <w:p>
      <w:pPr>
        <w:pStyle w:val="BodyText"/>
        <w:ind w:left="65"/>
        <w:spacing w:before="88"/>
        <w:outlineLvl w:val="0"/>
        <w:rPr>
          <w:sz w:val="27"/>
          <w:szCs w:val="27"/>
        </w:rPr>
      </w:pPr>
      <w:r>
        <w:rPr>
          <w:sz w:val="27"/>
          <w:szCs w:val="27"/>
          <w:b/>
          <w:bCs/>
          <w:spacing w:val="6"/>
        </w:rPr>
        <w:t>Four</w:t>
      </w:r>
      <w:r>
        <w:rPr>
          <w:rFonts w:ascii="Times New Roman" w:hAnsi="Times New Roman" w:eastAsia="Times New Roman" w:cs="Times New Roman"/>
          <w:sz w:val="27"/>
          <w:szCs w:val="27"/>
          <w:b/>
          <w:bCs/>
          <w:spacing w:val="6"/>
        </w:rPr>
        <w:t xml:space="preserve">. 20251028 </w:t>
      </w:r>
      <w:r>
        <w:rPr>
          <w:sz w:val="27"/>
          <w:szCs w:val="27"/>
          <w:b/>
          <w:bCs/>
          <w:spacing w:val="6"/>
        </w:rPr>
        <w:t>Chemical drug after approval</w:t>
      </w:r>
      <w:r>
        <w:rPr>
          <w:sz w:val="27"/>
          <w:szCs w:val="27"/>
          <w:b/>
          <w:bCs/>
          <w:spacing w:val="5"/>
        </w:rPr>
        <w:t>Technical Guidance Principles for the Change Management Plan (Trial)</w:t>
      </w:r>
    </w:p>
    <w:p>
      <w:pPr>
        <w:pStyle w:val="BodyText"/>
        <w:ind w:left="38" w:right="111"/>
        <w:spacing w:before="216" w:line="360" w:lineRule="auto"/>
        <w:jc w:val="both"/>
        <w:rPr/>
      </w:pPr>
      <w:r>
        <w:rPr>
          <w:b/>
          <w:bCs/>
          <w:spacing w:val="-2"/>
        </w:rPr>
        <w:t>Concept: The PACMP is a regulatory tool provided by ICH Q12, designed to offer predictability and transparency regarding the technical requirements that must be met for proposed changes. An approved PACMP represents an agreement reached between the regulatory authority and the marketing authorization holder, covering pharmaceutical changes that the holder intends to implement during the commercial phase of the drug’s lifecycle, as well as the procedures for preparing and validating these changes. It also includes assessments of the intended impact of the proposed changes, the proposed change management category, the change study plan, and the applicable standards that must be adhered to.</w:t>
      </w:r>
      <w:r>
        <w:rPr>
          <w:rFonts w:ascii="Times New Roman" w:hAnsi="Times New Roman" w:eastAsia="Times New Roman" w:cs="Times New Roman"/>
          <w:spacing w:val="-2"/>
        </w:rPr>
        <w:t/>
      </w:r>
      <w:r>
        <w:rPr>
          <w:rFonts w:ascii="Times New Roman" w:hAnsi="Times New Roman" w:eastAsia="Times New Roman" w:cs="Times New Roman"/>
          <w:spacing w:val="17"/>
        </w:rPr>
        <w:t xml:space="preserve"> </w:t>
      </w:r>
      <w:r>
        <w:rPr>
          <w:spacing w:val="-2"/>
        </w:rPr>
        <w:t/>
      </w:r>
      <w:r>
        <w:rPr>
          <w:spacing w:val="-56"/>
        </w:rPr>
        <w:t xml:space="preserve"> </w:t>
      </w:r>
      <w:r>
        <w:rPr>
          <w:rFonts w:ascii="Times New Roman" w:hAnsi="Times New Roman" w:eastAsia="Times New Roman" w:cs="Times New Roman"/>
          <w:spacing w:val="-2"/>
        </w:rPr>
        <w:t/>
      </w:r>
      <w:r>
        <w:rPr>
          <w:spacing w:val="-2"/>
        </w:rPr>
        <w:t/>
      </w:r>
      <w:r>
        <w:rPr>
          <w:spacing w:val="-3"/>
        </w:rPr>
        <w:t/>
      </w:r>
      <w:r>
        <w:rPr>
          <w:spacing w:val="-2"/>
        </w:rPr>
        <w:t/>
      </w:r>
      <w:r>
        <w:rPr>
          <w:spacing w:val="-54"/>
        </w:rPr>
        <w:t xml:space="preserve"> </w:t>
      </w:r>
      <w:r>
        <w:rPr>
          <w:rFonts w:ascii="Times New Roman" w:hAnsi="Times New Roman" w:eastAsia="Times New Roman" w:cs="Times New Roman"/>
          <w:spacing w:val="-2"/>
        </w:rPr>
        <w:t/>
      </w:r>
      <w:r>
        <w:rPr>
          <w:spacing w:val="-2"/>
        </w:rPr>
        <w:t/>
      </w:r>
      <w:r>
        <w:rPr>
          <w:spacing w:val="-3"/>
        </w:rPr>
        <w:t/>
      </w:r>
      <w:r>
        <w:rPr>
          <w:b/>
          <w:bCs/>
          <w:spacing w:val="-1"/>
        </w:rPr>
        <w:t/>
      </w:r>
      <w:r>
        <w:rPr>
          <w:spacing w:val="-1"/>
        </w:rPr>
        <w:t/>
      </w:r>
      <w:r>
        <w:rPr>
          <w:spacing w:val="-2"/>
        </w:rPr>
        <w:t/>
      </w:r>
    </w:p>
    <w:p>
      <w:pPr>
        <w:pStyle w:val="BodyText"/>
        <w:ind w:left="35" w:right="108" w:hanging="3"/>
        <w:spacing w:line="360" w:lineRule="auto"/>
        <w:jc w:val="both"/>
        <w:rPr/>
      </w:pPr>
      <w:r>
        <w:rPr>
          <w:rFonts w:ascii="Times New Roman" w:hAnsi="Times New Roman" w:eastAsia="Times New Roman" w:cs="Times New Roman"/>
          <w:spacing w:val="-1"/>
        </w:rPr>
        <w:t>RACMP</w:t>
      </w:r>
      <w:r>
        <w:rPr>
          <w:spacing w:val="-1"/>
        </w:rPr>
        <w:t>Post-approval changes can be implemented with greater flexibility, partly by involving the holder and regulatory authorities in discussions prior to the change.</w:t>
      </w:r>
      <w:r>
        <w:rPr>
          <w:spacing w:val="-3"/>
        </w:rPr>
        <w:t>Reaching a consensus on proposed changes can enhance the predictability of those changes; on the other hand, changes that have not been approved...</w:t>
      </w:r>
      <w:r>
        <w:rPr>
          <w:spacing w:val="-42"/>
        </w:rPr>
        <w:t xml:space="preserve"> </w:t>
      </w:r>
      <w:r>
        <w:rPr>
          <w:rFonts w:ascii="Times New Roman" w:hAnsi="Times New Roman" w:eastAsia="Times New Roman" w:cs="Times New Roman"/>
          <w:spacing w:val="-3"/>
        </w:rPr>
        <w:t>PACMP</w:t>
      </w:r>
      <w:r>
        <w:rPr>
          <w:rFonts w:ascii="Times New Roman" w:hAnsi="Times New Roman" w:eastAsia="Times New Roman" w:cs="Times New Roman"/>
          <w:spacing w:val="33"/>
          <w:w w:val="101"/>
        </w:rPr>
        <w:t xml:space="preserve"> </w:t>
      </w:r>
      <w:r>
        <w:rPr>
          <w:spacing w:val="-3"/>
        </w:rPr>
        <w:t>of the</w:t>
      </w:r>
      <w:r>
        <w:rPr>
          <w:spacing w:val="-3"/>
        </w:rPr>
        <w:t>Compared to the change process, based on the holder’s risk control capabilities regarding the proposed changes, the classification of change management and the review process can be adjusted.</w:t>
      </w:r>
      <w:r>
        <w:rPr>
          <w:spacing w:val="-7"/>
        </w:rPr>
        <w:t>Make adjustments.</w:t>
      </w:r>
    </w:p>
    <w:p>
      <w:pPr>
        <w:pStyle w:val="BodyText"/>
        <w:ind w:left="38" w:right="133" w:firstLine="5"/>
        <w:spacing w:before="2" w:line="353" w:lineRule="auto"/>
        <w:rPr/>
      </w:pPr>
      <w:r>
        <w:rPr>
          <w:b/>
          <w:bCs/>
          <w:spacing w:val="-2"/>
        </w:rPr>
        <w:t>Prerequisites:</w:t>
      </w:r>
      <w:r>
        <w:rPr>
          <w:spacing w:val="-2"/>
        </w:rPr>
        <w:t>A sound pharmaceutical quality system（</w:t>
      </w:r>
      <w:r>
        <w:rPr>
          <w:rFonts w:ascii="Times New Roman" w:hAnsi="Times New Roman" w:eastAsia="Times New Roman" w:cs="Times New Roman"/>
          <w:spacing w:val="-2"/>
        </w:rPr>
        <w:t>PQS</w:t>
      </w:r>
      <w:r>
        <w:rPr>
          <w:spacing w:val="-2"/>
        </w:rPr>
        <w:t>）</w:t>
      </w:r>
      <w:r>
        <w:rPr>
          <w:spacing w:val="-3"/>
        </w:rPr>
        <w:t>A稳健 risk control strategy and change control covering the entire lifecycle.</w:t>
      </w:r>
      <w:r>
        <w:rPr>
          <w:spacing w:val="-3"/>
        </w:rPr>
        <w:t>System, as well as continuous</w:t>
      </w:r>
      <w:r>
        <w:rPr>
          <w:spacing w:val="-44"/>
        </w:rPr>
        <w:t xml:space="preserve"> </w:t>
      </w:r>
      <w:r>
        <w:rPr>
          <w:rFonts w:ascii="Times New Roman" w:hAnsi="Times New Roman" w:eastAsia="Times New Roman" w:cs="Times New Roman"/>
          <w:spacing w:val="-3"/>
        </w:rPr>
        <w:t>GMP</w:t>
      </w:r>
      <w:r>
        <w:rPr>
          <w:spacing w:val="-3"/>
        </w:rPr>
        <w:t>Compliance is</w:t>
      </w:r>
      <w:r>
        <w:rPr>
          <w:spacing w:val="-58"/>
        </w:rPr>
        <w:t xml:space="preserve"> </w:t>
      </w:r>
      <w:r>
        <w:rPr>
          <w:rFonts w:ascii="Times New Roman" w:hAnsi="Times New Roman" w:eastAsia="Times New Roman" w:cs="Times New Roman"/>
          <w:spacing w:val="-3"/>
        </w:rPr>
        <w:t>PACMP</w:t>
      </w:r>
      <w:r>
        <w:rPr>
          <w:spacing w:val="-3"/>
        </w:rPr>
        <w:t>The foundation for implementation.</w:t>
      </w:r>
    </w:p>
    <w:p>
      <w:pPr>
        <w:spacing w:line="455" w:lineRule="auto"/>
        <w:rPr>
          <w:rFonts w:ascii="Arial"/>
          <w:sz w:val="21"/>
        </w:rPr>
      </w:pPr>
      <w:r/>
    </w:p>
    <w:p>
      <w:pPr>
        <w:pStyle w:val="BodyText"/>
        <w:ind w:left="44"/>
        <w:spacing w:before="88" w:line="239" w:lineRule="auto"/>
        <w:outlineLvl w:val="0"/>
        <w:rPr>
          <w:sz w:val="27"/>
          <w:szCs w:val="27"/>
        </w:rPr>
      </w:pPr>
      <w:r>
        <w:rPr>
          <w:sz w:val="27"/>
          <w:szCs w:val="27"/>
          <w:b/>
          <w:bCs/>
          <w:spacing w:val="6"/>
        </w:rPr>
        <w:t>Five</w:t>
      </w:r>
      <w:r>
        <w:rPr>
          <w:rFonts w:ascii="Times New Roman" w:hAnsi="Times New Roman" w:eastAsia="Times New Roman" w:cs="Times New Roman"/>
          <w:sz w:val="27"/>
          <w:szCs w:val="27"/>
          <w:b/>
          <w:bCs/>
          <w:spacing w:val="6"/>
        </w:rPr>
        <w:t>. 20251104</w:t>
      </w:r>
      <w:r>
        <w:rPr>
          <w:sz w:val="27"/>
          <w:szCs w:val="27"/>
          <w:b/>
          <w:bCs/>
          <w:spacing w:val="6"/>
        </w:rPr>
        <w:t>Catalog of Reference Preparations for Generic Chemical Drugs (100th Batch) (Draft for Comments)</w:t>
      </w:r>
    </w:p>
    <w:p>
      <w:pPr>
        <w:pStyle w:val="BodyText"/>
        <w:ind w:left="39"/>
        <w:spacing w:before="219" w:line="358" w:lineRule="auto"/>
        <w:jc w:val="both"/>
        <w:rPr/>
      </w:pPr>
      <w:r>
        <w:rPr>
          <w:spacing w:val="1"/>
        </w:rPr>
        <w:t>The reasons for the recent rejection of these applications include: “After review by the Consistency Evaluation Expert Committee, the National Medical Products Administration has designated the Opicapone capsules marketed in the EU as the reference preparation. The recommended dosage is 50 mg once daily; however, the Opicapone tablets marketed in Japan are recommended at a dosage of 25 mg once daily. Both formulations are immediate-release preparations, which could easily lead to confusion in clinical practice. Hence, the application was not approved.”; and “After evaluation by the Consistency Evaluation Expert Committee, it was determined that the proposed reference preparation does not meet the criteria for reference status. The safety and efficacy data for postoperative nausea and vomiting (PONV) were derived from a literature review, with a low level of evidence. Therefore, the application was not approved.”</w:t>
      </w:r>
      <w:r>
        <w:rPr>
          <w:rFonts w:ascii="Times New Roman" w:hAnsi="Times New Roman" w:eastAsia="Times New Roman" w:cs="Times New Roman"/>
          <w:spacing w:val="1"/>
        </w:rPr>
        <w:t/>
      </w:r>
      <w:r>
        <w:rPr>
          <w:spacing w:val="1"/>
        </w:rPr>
        <w:t/>
      </w:r>
      <w:r>
        <w:rPr/>
        <w:t/>
      </w:r>
      <w:r>
        <w:rPr>
          <w:spacing w:val="-1"/>
        </w:rPr>
        <w:t/>
      </w:r>
      <w:r>
        <w:rPr>
          <w:rFonts w:ascii="Times New Roman" w:hAnsi="Times New Roman" w:eastAsia="Times New Roman" w:cs="Times New Roman"/>
          <w:spacing w:val="-1"/>
        </w:rPr>
        <w:t/>
      </w:r>
      <w:r>
        <w:rPr>
          <w:spacing w:val="-1"/>
        </w:rPr>
        <w:t/>
      </w:r>
      <w:r>
        <w:rPr>
          <w:spacing w:val="-2"/>
        </w:rPr>
        <w:t/>
      </w:r>
      <w:r>
        <w:rPr>
          <w:spacing w:val="-1"/>
        </w:rPr>
        <w:t/>
      </w:r>
      <w:r>
        <w:rPr>
          <w:rFonts w:ascii="Times New Roman" w:hAnsi="Times New Roman" w:eastAsia="Times New Roman" w:cs="Times New Roman"/>
          <w:spacing w:val="-1"/>
        </w:rPr>
        <w:t/>
      </w:r>
      <w:r>
        <w:rPr>
          <w:spacing w:val="-1"/>
        </w:rPr>
        <w:t/>
      </w:r>
      <w:r>
        <w:rPr>
          <w:rFonts w:ascii="Times New Roman" w:hAnsi="Times New Roman" w:eastAsia="Times New Roman" w:cs="Times New Roman"/>
          <w:spacing w:val="-1"/>
        </w:rPr>
        <w:t/>
      </w:r>
      <w:r>
        <w:rPr>
          <w:rFonts w:ascii="Times New Roman" w:hAnsi="Times New Roman" w:eastAsia="Times New Roman" w:cs="Times New Roman"/>
          <w:spacing w:val="-38"/>
        </w:rPr>
        <w:t xml:space="preserve"> </w:t>
      </w:r>
      <w:r>
        <w:rPr>
          <w:spacing w:val="-1"/>
        </w:rPr>
        <w:t/>
      </w:r>
      <w:r>
        <w:rPr>
          <w:rFonts w:ascii="Times New Roman" w:hAnsi="Times New Roman" w:eastAsia="Times New Roman" w:cs="Times New Roman"/>
          <w:spacing w:val="-1"/>
        </w:rPr>
        <w:t/>
      </w:r>
      <w:r>
        <w:rPr>
          <w:spacing w:val="-1"/>
        </w:rPr>
        <w:t/>
      </w:r>
      <w:r>
        <w:rPr>
          <w:spacing w:val="-2"/>
        </w:rPr>
        <w:t/>
      </w:r>
      <w:r>
        <w:rPr>
          <w:spacing w:val="2"/>
        </w:rPr>
        <w:t/>
      </w:r>
      <w:r>
        <w:rPr>
          <w:spacing w:val="1"/>
        </w:rPr>
        <w:t/>
      </w:r>
      <w:r>
        <w:rPr>
          <w:rFonts w:ascii="Times New Roman" w:hAnsi="Times New Roman" w:eastAsia="Times New Roman" w:cs="Times New Roman"/>
        </w:rPr>
        <w:t/>
      </w:r>
      <w:r>
        <w:rPr>
          <w:spacing w:val="1"/>
        </w:rPr>
        <w:t/>
      </w:r>
      <w:r>
        <w:rPr/>
        <w:t/>
      </w:r>
      <w:r>
        <w:rPr>
          <w:spacing w:val="-1"/>
        </w:rPr>
        <w:t/>
      </w:r>
      <w:r>
        <w:rPr>
          <w:rFonts w:ascii="Times New Roman" w:hAnsi="Times New Roman" w:eastAsia="Times New Roman" w:cs="Times New Roman"/>
          <w:spacing w:val="-1"/>
        </w:rPr>
        <w:t/>
      </w:r>
      <w:r>
        <w:rPr>
          <w:spacing w:val="-1"/>
        </w:rPr>
        <w:t/>
      </w:r>
    </w:p>
    <w:p>
      <w:pPr>
        <w:pStyle w:val="BodyText"/>
        <w:ind w:left="38"/>
        <w:spacing w:before="9" w:line="219" w:lineRule="auto"/>
        <w:rPr/>
      </w:pPr>
      <w:r>
        <w:rPr>
          <w:b/>
          <w:bCs/>
          <w:spacing w:val="-4"/>
        </w:rPr>
        <w:t>Relevant enterprises should take care to avoid this when selecting reference preparations.</w:t>
      </w:r>
    </w:p>
    <w:p>
      <w:pPr>
        <w:spacing w:line="219" w:lineRule="auto"/>
        <w:sectPr>
          <w:headerReference w:type="default" r:id="rId10"/>
          <w:footerReference w:type="default" r:id="rId11"/>
          <w:pgSz w:w="11905" w:h="16839"/>
          <w:pgMar w:top="1167" w:right="966" w:bottom="1576" w:left="1051" w:header="821" w:footer="1373" w:gutter="0"/>
        </w:sectPr>
        <w:rPr/>
      </w:pPr>
    </w:p>
    <w:p>
      <w:pPr>
        <w:spacing w:line="354" w:lineRule="auto"/>
        <w:rPr>
          <w:rFonts w:ascii="Arial"/>
          <w:sz w:val="21"/>
        </w:rPr>
      </w:pPr>
      <w:r/>
    </w:p>
    <w:p>
      <w:pPr>
        <w:pStyle w:val="BodyText"/>
        <w:ind w:left="460" w:right="29" w:hanging="419"/>
        <w:spacing w:before="87" w:line="414" w:lineRule="auto"/>
        <w:outlineLvl w:val="0"/>
        <w:rPr>
          <w:sz w:val="27"/>
          <w:szCs w:val="27"/>
        </w:rPr>
      </w:pPr>
      <w:r>
        <w:rPr>
          <w:sz w:val="27"/>
          <w:szCs w:val="27"/>
          <w:b/>
          <w:bCs/>
        </w:rPr>
        <w:t>VI. 20251113 Notice on Including Vorasidenib Tablets in the Pilot Program of the “Pilot Program for Encouraging the Development of Pediatric Antitumor Drugs (Starlight Program)”; 20251104 Notice on Including Anritinib Capsules in the Pilot Program of the “Pilot Program for Encouraging the Development of Pediatric Antitumor Drugs (Starlight Program)”</w:t>
      </w:r>
      <w:r>
        <w:rPr>
          <w:rFonts w:ascii="Times New Roman" w:hAnsi="Times New Roman" w:eastAsia="Times New Roman" w:cs="Times New Roman"/>
          <w:sz w:val="27"/>
          <w:szCs w:val="27"/>
          <w:b/>
          <w:bCs/>
        </w:rPr>
        <w:t/>
      </w:r>
      <w:r>
        <w:rPr>
          <w:sz w:val="27"/>
          <w:szCs w:val="27"/>
          <w:b/>
          <w:bCs/>
        </w:rPr>
        <w:t/>
      </w:r>
      <w:r>
        <w:rPr>
          <w:sz w:val="27"/>
          <w:szCs w:val="27"/>
          <w:spacing w:val="-60"/>
        </w:rPr>
        <w:t xml:space="preserve"> </w:t>
      </w:r>
      <w:r>
        <w:rPr>
          <w:rFonts w:ascii="Times New Roman" w:hAnsi="Times New Roman" w:eastAsia="Times New Roman" w:cs="Times New Roman"/>
          <w:sz w:val="27"/>
          <w:szCs w:val="27"/>
          <w:b/>
          <w:bCs/>
        </w:rPr>
        <w:t/>
      </w:r>
      <w:r>
        <w:rPr>
          <w:rFonts w:ascii="Times New Roman" w:hAnsi="Times New Roman" w:eastAsia="Times New Roman" w:cs="Times New Roman"/>
          <w:sz w:val="27"/>
          <w:szCs w:val="27"/>
          <w:b/>
          <w:bCs/>
          <w:spacing w:val="-1"/>
        </w:rPr>
        <w:t/>
      </w:r>
      <w:r>
        <w:rPr>
          <w:rFonts w:ascii="Times New Roman" w:hAnsi="Times New Roman" w:eastAsia="Times New Roman" w:cs="Times New Roman"/>
          <w:sz w:val="27"/>
          <w:szCs w:val="27"/>
          <w:b/>
          <w:bCs/>
          <w:spacing w:val="17"/>
          <w:w w:val="101"/>
        </w:rPr>
        <w:t xml:space="preserve"> </w:t>
      </w:r>
      <w:r>
        <w:rPr>
          <w:sz w:val="27"/>
          <w:szCs w:val="27"/>
          <w:b/>
          <w:bCs/>
          <w:spacing w:val="-1"/>
        </w:rPr>
        <w:t/>
      </w:r>
      <w:r>
        <w:rPr>
          <w:sz w:val="27"/>
          <w:szCs w:val="27"/>
          <w:b/>
          <w:bCs/>
          <w:spacing w:val="5"/>
        </w:rPr>
        <w:t/>
      </w:r>
      <w:r>
        <w:rPr>
          <w:sz w:val="27"/>
          <w:szCs w:val="27"/>
          <w:spacing w:val="5"/>
        </w:rPr>
        <w:t xml:space="preserve"> </w:t>
      </w:r>
      <w:r>
        <w:rPr>
          <w:rFonts w:ascii="Times New Roman" w:hAnsi="Times New Roman" w:eastAsia="Times New Roman" w:cs="Times New Roman"/>
          <w:sz w:val="27"/>
          <w:szCs w:val="27"/>
          <w:b/>
          <w:bCs/>
          <w:spacing w:val="5"/>
        </w:rPr>
        <w:t/>
      </w:r>
      <w:r>
        <w:rPr>
          <w:sz w:val="27"/>
          <w:szCs w:val="27"/>
          <w:b/>
          <w:bCs/>
          <w:spacing w:val="5"/>
        </w:rPr>
        <w:t/>
      </w:r>
      <w:r>
        <w:rPr>
          <w:sz w:val="27"/>
          <w:szCs w:val="27"/>
          <w:b/>
          <w:bCs/>
          <w:spacing w:val="4"/>
        </w:rPr>
        <w:t/>
      </w:r>
      <w:r>
        <w:rPr>
          <w:rFonts w:ascii="Times New Roman" w:hAnsi="Times New Roman" w:eastAsia="Times New Roman" w:cs="Times New Roman"/>
          <w:sz w:val="27"/>
          <w:szCs w:val="27"/>
          <w:b/>
          <w:bCs/>
          <w:spacing w:val="4"/>
        </w:rPr>
        <w:t/>
      </w:r>
      <w:r>
        <w:rPr>
          <w:sz w:val="27"/>
          <w:szCs w:val="27"/>
          <w:b/>
          <w:bCs/>
          <w:spacing w:val="4"/>
        </w:rPr>
        <w:t/>
      </w:r>
      <w:r>
        <w:rPr>
          <w:sz w:val="27"/>
          <w:szCs w:val="27"/>
          <w:b/>
          <w:bCs/>
          <w:spacing w:val="6"/>
        </w:rPr>
        <w:t/>
      </w:r>
      <w:r>
        <w:rPr>
          <w:sz w:val="27"/>
          <w:szCs w:val="27"/>
          <w:spacing w:val="-95"/>
        </w:rPr>
        <w:t xml:space="preserve"> </w:t>
      </w:r>
      <w:r>
        <w:rPr>
          <w:rFonts w:ascii="Times New Roman" w:hAnsi="Times New Roman" w:eastAsia="Times New Roman" w:cs="Times New Roman"/>
          <w:sz w:val="27"/>
          <w:szCs w:val="27"/>
          <w:b/>
          <w:bCs/>
          <w:spacing w:val="6"/>
        </w:rPr>
        <w:t/>
      </w:r>
      <w:r>
        <w:rPr>
          <w:sz w:val="27"/>
          <w:szCs w:val="27"/>
          <w:b/>
          <w:bCs/>
          <w:spacing w:val="6"/>
        </w:rPr>
        <w:t/>
      </w:r>
    </w:p>
    <w:p>
      <w:pPr>
        <w:pStyle w:val="BodyText"/>
        <w:ind w:left="40"/>
        <w:spacing w:line="219" w:lineRule="auto"/>
        <w:rPr/>
      </w:pPr>
      <w:r>
        <w:rPr>
          <w:spacing w:val="-2"/>
        </w:rPr>
        <w:t>Include</w:t>
      </w:r>
      <w:r>
        <w:rPr>
          <w:rFonts w:ascii="Times New Roman" w:hAnsi="Times New Roman" w:eastAsia="Times New Roman" w:cs="Times New Roman"/>
          <w:spacing w:val="-2"/>
        </w:rPr>
        <w:t>“</w:t>
      </w:r>
      <w:r>
        <w:rPr>
          <w:spacing w:val="-2"/>
        </w:rPr>
        <w:t>Starlight Program</w:t>
      </w:r>
      <w:r>
        <w:rPr>
          <w:rFonts w:ascii="Times New Roman" w:hAnsi="Times New Roman" w:eastAsia="Times New Roman" w:cs="Times New Roman"/>
          <w:spacing w:val="-2"/>
        </w:rPr>
        <w:t>”</w:t>
      </w:r>
      <w:r>
        <w:rPr>
          <w:rFonts w:ascii="Times New Roman" w:hAnsi="Times New Roman" w:eastAsia="Times New Roman" w:cs="Times New Roman"/>
          <w:spacing w:val="-32"/>
        </w:rPr>
        <w:t xml:space="preserve"> </w:t>
      </w:r>
      <w:r>
        <w:rPr>
          <w:spacing w:val="-2"/>
        </w:rPr>
        <w:t>of the variety can enjoy the following policies.</w:t>
      </w:r>
      <w:r>
        <w:rPr>
          <w:spacing w:val="-3"/>
        </w:rPr>
        <w:t>Support:</w:t>
      </w:r>
    </w:p>
    <w:p>
      <w:pPr>
        <w:pStyle w:val="BodyText"/>
        <w:ind w:left="56"/>
        <w:spacing w:before="180" w:line="233" w:lineRule="auto"/>
        <w:rPr/>
      </w:pPr>
      <w:r>
        <w:rPr>
          <w:rFonts w:ascii="Times New Roman" w:hAnsi="Times New Roman" w:eastAsia="Times New Roman" w:cs="Times New Roman"/>
          <w:spacing w:val="-5"/>
        </w:rPr>
        <w:t>1</w:t>
      </w:r>
      <w:r>
        <w:rPr>
          <w:spacing w:val="-5"/>
        </w:rPr>
        <w:t>）Communication and guidance throughout the entire process; all communication and exchange meetings will be conducted according to...</w:t>
      </w:r>
      <w:r>
        <w:rPr>
          <w:spacing w:val="29"/>
        </w:rPr>
        <w:t xml:space="preserve"> </w:t>
      </w:r>
      <w:r>
        <w:rPr>
          <w:rFonts w:ascii="Times New Roman" w:hAnsi="Times New Roman" w:eastAsia="Times New Roman" w:cs="Times New Roman"/>
          <w:spacing w:val="-5"/>
        </w:rPr>
        <w:t xml:space="preserve">I  </w:t>
      </w:r>
      <w:r>
        <w:rPr>
          <w:spacing w:val="-5"/>
        </w:rPr>
        <w:t>Class meeting（</w:t>
      </w:r>
      <w:r>
        <w:rPr>
          <w:rFonts w:ascii="Times New Roman" w:hAnsi="Times New Roman" w:eastAsia="Times New Roman" w:cs="Times New Roman"/>
          <w:spacing w:val="-5"/>
        </w:rPr>
        <w:t xml:space="preserve">30  </w:t>
      </w:r>
      <w:r>
        <w:rPr>
          <w:spacing w:val="-5"/>
        </w:rPr>
        <w:t>day</w:t>
      </w:r>
      <w:r>
        <w:rPr>
          <w:spacing w:val="-41"/>
        </w:rPr>
        <w:t>）;</w:t>
      </w:r>
    </w:p>
    <w:p>
      <w:pPr>
        <w:pStyle w:val="BodyText"/>
        <w:ind w:left="33"/>
        <w:spacing w:before="168" w:line="233" w:lineRule="auto"/>
        <w:rPr/>
      </w:pPr>
      <w:r>
        <w:rPr>
          <w:rFonts w:ascii="Times New Roman" w:hAnsi="Times New Roman" w:eastAsia="Times New Roman" w:cs="Times New Roman"/>
          <w:spacing w:val="-6"/>
        </w:rPr>
        <w:t>2</w:t>
      </w:r>
      <w:r>
        <w:rPr>
          <w:spacing w:val="-6"/>
        </w:rPr>
        <w:t>）As performed</w:t>
      </w:r>
      <w:r>
        <w:rPr>
          <w:spacing w:val="-33"/>
        </w:rPr>
        <w:t xml:space="preserve"> </w:t>
      </w:r>
      <w:r>
        <w:rPr>
          <w:rFonts w:ascii="Times New Roman" w:hAnsi="Times New Roman" w:eastAsia="Times New Roman" w:cs="Times New Roman"/>
          <w:spacing w:val="-6"/>
        </w:rPr>
        <w:t>IND</w:t>
      </w:r>
      <w:r>
        <w:rPr>
          <w:rFonts w:ascii="Times New Roman" w:hAnsi="Times New Roman" w:eastAsia="Times New Roman" w:cs="Times New Roman"/>
          <w:spacing w:val="19"/>
        </w:rPr>
        <w:t xml:space="preserve"> </w:t>
      </w:r>
      <w:r>
        <w:rPr>
          <w:spacing w:val="-6"/>
        </w:rPr>
        <w:t>Approval, can be carried out according to</w:t>
      </w:r>
      <w:r>
        <w:rPr>
          <w:spacing w:val="-52"/>
        </w:rPr>
        <w:t xml:space="preserve"> </w:t>
      </w:r>
      <w:r>
        <w:rPr>
          <w:rFonts w:ascii="Times New Roman" w:hAnsi="Times New Roman" w:eastAsia="Times New Roman" w:cs="Times New Roman"/>
          <w:spacing w:val="-6"/>
        </w:rPr>
        <w:t>30</w:t>
      </w:r>
      <w:r>
        <w:rPr>
          <w:rFonts w:ascii="Times New Roman" w:hAnsi="Times New Roman" w:eastAsia="Times New Roman" w:cs="Times New Roman"/>
          <w:spacing w:val="48"/>
          <w:w w:val="101"/>
        </w:rPr>
        <w:t xml:space="preserve"> </w:t>
      </w:r>
      <w:r>
        <w:rPr>
          <w:spacing w:val="-6"/>
        </w:rPr>
        <w:t>Daily channel approval.</w:t>
      </w:r>
    </w:p>
    <w:p>
      <w:pPr>
        <w:spacing w:line="299" w:lineRule="auto"/>
        <w:rPr>
          <w:rFonts w:ascii="Arial"/>
          <w:sz w:val="21"/>
        </w:rPr>
      </w:pPr>
      <w:r/>
    </w:p>
    <w:p>
      <w:pPr>
        <w:spacing w:line="300" w:lineRule="auto"/>
        <w:rPr>
          <w:rFonts w:ascii="Arial"/>
          <w:sz w:val="21"/>
        </w:rPr>
      </w:pPr>
      <w:r/>
    </w:p>
    <w:p>
      <w:pPr>
        <w:pStyle w:val="BodyText"/>
        <w:ind w:left="38"/>
        <w:spacing w:before="88" w:line="241" w:lineRule="auto"/>
        <w:outlineLvl w:val="0"/>
        <w:rPr>
          <w:sz w:val="27"/>
          <w:szCs w:val="27"/>
        </w:rPr>
      </w:pPr>
      <w:r>
        <w:rPr>
          <w:sz w:val="27"/>
          <w:szCs w:val="27"/>
          <w:b/>
          <w:bCs/>
          <w:spacing w:val="1"/>
        </w:rPr>
        <w:t>seven</w:t>
      </w:r>
      <w:r>
        <w:rPr>
          <w:rFonts w:ascii="Times New Roman" w:hAnsi="Times New Roman" w:eastAsia="Times New Roman" w:cs="Times New Roman"/>
          <w:sz w:val="27"/>
          <w:szCs w:val="27"/>
          <w:b/>
          <w:bCs/>
          <w:spacing w:val="1"/>
        </w:rPr>
        <w:t>.</w:t>
      </w:r>
      <w:r>
        <w:rPr>
          <w:rFonts w:ascii="Times New Roman" w:hAnsi="Times New Roman" w:eastAsia="Times New Roman" w:cs="Times New Roman"/>
          <w:sz w:val="27"/>
          <w:szCs w:val="27"/>
          <w:b/>
          <w:bCs/>
          <w:spacing w:val="15"/>
        </w:rPr>
        <w:t xml:space="preserve"> </w:t>
      </w:r>
      <w:r>
        <w:rPr>
          <w:sz w:val="27"/>
          <w:szCs w:val="27"/>
          <w:b/>
          <w:bCs/>
          <w:spacing w:val="1"/>
        </w:rPr>
        <w:t>Other</w:t>
      </w:r>
    </w:p>
    <w:p>
      <w:pPr>
        <w:pStyle w:val="BodyText"/>
        <w:ind w:left="36"/>
        <w:spacing w:before="214" w:line="233" w:lineRule="auto"/>
        <w:outlineLvl w:val="1"/>
        <w:rPr/>
      </w:pPr>
      <w:r>
        <w:rPr>
          <w:rFonts w:ascii="Times New Roman" w:hAnsi="Times New Roman" w:eastAsia="Times New Roman" w:cs="Times New Roman"/>
          <w:b/>
          <w:bCs/>
          <w:spacing w:val="-3"/>
        </w:rPr>
        <w:t>7.1.</w:t>
      </w:r>
      <w:r>
        <w:rPr>
          <w:rFonts w:ascii="Times New Roman" w:hAnsi="Times New Roman" w:eastAsia="Times New Roman" w:cs="Times New Roman"/>
          <w:b/>
          <w:bCs/>
          <w:spacing w:val="4"/>
        </w:rPr>
        <w:t xml:space="preserve">  </w:t>
      </w:r>
      <w:r>
        <w:rPr>
          <w:b/>
          <w:bCs/>
          <w:spacing w:val="-3"/>
        </w:rPr>
        <w:t>Pharmacy-related</w:t>
      </w:r>
    </w:p>
    <w:p>
      <w:pPr>
        <w:pStyle w:val="BodyText"/>
        <w:ind w:left="33"/>
        <w:spacing w:before="162" w:line="232" w:lineRule="auto"/>
        <w:rPr/>
      </w:pPr>
      <w:r>
        <w:rPr>
          <w:rFonts w:ascii="Times New Roman" w:hAnsi="Times New Roman" w:eastAsia="Times New Roman" w:cs="Times New Roman"/>
          <w:spacing w:val="-1"/>
        </w:rPr>
        <w:t xml:space="preserve">20251110  </w:t>
      </w:r>
      <w:r>
        <w:rPr>
          <w:spacing w:val="-1"/>
        </w:rPr>
        <w:t>Technical Guidance Principles for Pharmaceutical Research and Evaluation of Recombinant Glycoprotein Hormone Products</w:t>
      </w:r>
    </w:p>
    <w:p>
      <w:pPr>
        <w:pStyle w:val="BodyText"/>
        <w:ind w:left="33"/>
        <w:spacing w:before="170" w:line="233" w:lineRule="auto"/>
        <w:rPr/>
      </w:pPr>
      <w:r>
        <w:rPr>
          <w:rFonts w:ascii="Times New Roman" w:hAnsi="Times New Roman" w:eastAsia="Times New Roman" w:cs="Times New Roman"/>
          <w:spacing w:val="-4"/>
        </w:rPr>
        <w:t>20251110</w:t>
      </w:r>
      <w:r>
        <w:rPr>
          <w:spacing w:val="-4"/>
        </w:rPr>
        <w:t>Guidelines for Drafting the Manufacturing and Testing Procedures for Recombinant Monoclonal Antibody-Based Biological Products (Draft for Comments)</w:t>
      </w:r>
    </w:p>
    <w:p>
      <w:pPr>
        <w:pStyle w:val="BodyText"/>
        <w:ind w:left="33"/>
        <w:spacing w:before="162" w:line="233" w:lineRule="auto"/>
        <w:rPr/>
      </w:pPr>
      <w:r>
        <w:rPr>
          <w:rFonts w:ascii="Times New Roman" w:hAnsi="Times New Roman" w:eastAsia="Times New Roman" w:cs="Times New Roman"/>
          <w:spacing w:val="-5"/>
        </w:rPr>
        <w:t>20251113</w:t>
      </w:r>
      <w:r>
        <w:rPr>
          <w:spacing w:val="-5"/>
        </w:rPr>
        <w:t>Technical Guidance Principles for Quality Control Research on Chinese Herbal Extracts (Draft for Comments)</w:t>
      </w:r>
    </w:p>
    <w:p>
      <w:pPr>
        <w:pStyle w:val="BodyText"/>
        <w:ind w:left="36"/>
        <w:spacing w:before="168" w:line="233" w:lineRule="auto"/>
        <w:outlineLvl w:val="1"/>
        <w:rPr/>
      </w:pPr>
      <w:r>
        <w:rPr>
          <w:rFonts w:ascii="Times New Roman" w:hAnsi="Times New Roman" w:eastAsia="Times New Roman" w:cs="Times New Roman"/>
          <w:b/>
          <w:bCs/>
          <w:spacing w:val="-5"/>
        </w:rPr>
        <w:t>7.2</w:t>
      </w:r>
      <w:r>
        <w:rPr>
          <w:rFonts w:ascii="Times New Roman" w:hAnsi="Times New Roman" w:eastAsia="Times New Roman" w:cs="Times New Roman"/>
          <w:b/>
          <w:bCs/>
          <w:spacing w:val="11"/>
        </w:rPr>
        <w:t xml:space="preserve">  </w:t>
      </w:r>
      <w:r>
        <w:rPr>
          <w:b/>
          <w:bCs/>
          <w:spacing w:val="-5"/>
        </w:rPr>
        <w:t>Clinical type</w:t>
      </w:r>
    </w:p>
    <w:p>
      <w:pPr>
        <w:pStyle w:val="BodyText"/>
        <w:ind w:left="33"/>
        <w:spacing w:before="162" w:line="233" w:lineRule="auto"/>
        <w:rPr/>
      </w:pPr>
      <w:r>
        <w:rPr>
          <w:rFonts w:ascii="Times New Roman" w:hAnsi="Times New Roman" w:eastAsia="Times New Roman" w:cs="Times New Roman"/>
          <w:spacing w:val="-1"/>
        </w:rPr>
        <w:t xml:space="preserve">20251023  </w:t>
      </w:r>
      <w:r>
        <w:rPr>
          <w:spacing w:val="-1"/>
        </w:rPr>
        <w:t>Key Points for Drafting Information on Drug Use in Elderly Populations in Drug Instructions (Trial)</w:t>
      </w:r>
    </w:p>
    <w:p>
      <w:pPr>
        <w:pStyle w:val="BodyText"/>
        <w:ind w:left="33"/>
        <w:spacing w:before="168" w:line="233" w:lineRule="auto"/>
        <w:rPr/>
      </w:pPr>
      <w:r>
        <w:rPr>
          <w:rFonts w:ascii="Times New Roman" w:hAnsi="Times New Roman" w:eastAsia="Times New Roman" w:cs="Times New Roman"/>
          <w:spacing w:val="-1"/>
        </w:rPr>
        <w:t xml:space="preserve">20251029  </w:t>
      </w:r>
      <w:r>
        <w:rPr>
          <w:spacing w:val="-1"/>
        </w:rPr>
        <w:t>General Principles and Key Considerations for Age-Friendly Design in Innovative Drug Development (Trial)</w:t>
      </w:r>
    </w:p>
    <w:p>
      <w:pPr>
        <w:pStyle w:val="BodyText"/>
        <w:ind w:left="33"/>
        <w:spacing w:before="164" w:line="233" w:lineRule="auto"/>
        <w:rPr/>
      </w:pPr>
      <w:r>
        <w:rPr>
          <w:rFonts w:ascii="Times New Roman" w:hAnsi="Times New Roman" w:eastAsia="Times New Roman" w:cs="Times New Roman"/>
          <w:spacing w:val="-1"/>
        </w:rPr>
        <w:t xml:space="preserve">20251029  </w:t>
      </w:r>
      <w:r>
        <w:rPr>
          <w:spacing w:val="-1"/>
        </w:rPr>
        <w:t>Key Elements for Elderly Populations to Participate in Clinical Trials of Innovative Drugs and Key Points for Trial Design (Trial Implementation)</w:t>
      </w:r>
    </w:p>
    <w:p>
      <w:pPr>
        <w:pStyle w:val="BodyText"/>
        <w:ind w:left="33" w:right="2831"/>
        <w:spacing w:before="167" w:line="359" w:lineRule="auto"/>
        <w:rPr/>
      </w:pPr>
      <w:r>
        <w:rPr>
          <w:rFonts w:ascii="Times New Roman" w:hAnsi="Times New Roman" w:eastAsia="Times New Roman" w:cs="Times New Roman"/>
          <w:spacing w:val="-1"/>
        </w:rPr>
        <w:t>20251104</w:t>
      </w:r>
      <w:r>
        <w:rPr>
          <w:spacing w:val="-1"/>
        </w:rPr>
        <w:t>Guiding Principles for the Estimation of Doses in Neonates and Young Infants (Draft for Comments)</w:t>
      </w:r>
      <w:r>
        <w:rPr>
          <w:spacing w:val="11"/>
        </w:rPr>
        <w:t xml:space="preserve"> </w:t>
      </w:r>
      <w:r>
        <w:rPr>
          <w:rFonts w:ascii="Times New Roman" w:hAnsi="Times New Roman" w:eastAsia="Times New Roman" w:cs="Times New Roman"/>
          <w:spacing w:val="-5"/>
        </w:rPr>
        <w:t>20251110</w:t>
      </w:r>
      <w:r>
        <w:rPr>
          <w:spacing w:val="-5"/>
        </w:rPr>
        <w:t>Technical Guidance Principles for Clinical Trials of Influenza Virus Vaccines (Draft for Comments)</w:t>
      </w:r>
    </w:p>
    <w:p>
      <w:pPr>
        <w:pStyle w:val="BodyText"/>
        <w:ind w:left="33"/>
        <w:spacing w:before="3" w:line="233" w:lineRule="auto"/>
        <w:rPr/>
      </w:pPr>
      <w:r>
        <w:rPr>
          <w:rFonts w:ascii="Times New Roman" w:hAnsi="Times New Roman" w:eastAsia="Times New Roman" w:cs="Times New Roman"/>
          <w:spacing w:val="-4"/>
        </w:rPr>
        <w:t>20251110</w:t>
      </w:r>
      <w:r>
        <w:rPr>
          <w:spacing w:val="-4"/>
        </w:rPr>
        <w:t>Technical Guidance Principles for Clinical Trials of Human Papillomavirus Vaccines (Revised Draft for Comments)</w:t>
      </w:r>
      <w:r>
        <w:rPr>
          <w:spacing w:val="-5"/>
        </w:rPr>
        <w:t>Manuscript)</w:t>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pStyle w:val="BodyText"/>
        <w:ind w:left="8710" w:right="23" w:hanging="365"/>
        <w:spacing w:before="79" w:line="402" w:lineRule="auto"/>
        <w:rPr>
          <w:rFonts w:ascii="Times New Roman" w:hAnsi="Times New Roman" w:eastAsia="Times New Roman" w:cs="Times New Roman"/>
        </w:rPr>
      </w:pPr>
      <w:r>
        <w:rPr>
          <w:spacing w:val="-2"/>
        </w:rPr>
        <w:t>Registration and Regulatory Department</w:t>
      </w:r>
      <w:r>
        <w:rPr>
          <w:rFonts w:ascii="Times New Roman" w:hAnsi="Times New Roman" w:eastAsia="Times New Roman" w:cs="Times New Roman"/>
          <w:spacing w:val="-1"/>
        </w:rPr>
        <w:t>2025.11.14</w:t>
      </w:r>
    </w:p>
    <w:sectPr>
      <w:headerReference w:type="default" r:id="rId1"/>
      <w:footerReference w:type="default" r:id="rId12"/>
      <w:pgSz w:w="11905" w:h="16839"/>
      <w:pgMar w:top="1167" w:right="1046" w:bottom="1576" w:left="1051" w:header="821" w:footer="1373"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76"/>
      <w:spacing w:line="22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58"/>
      <w:spacing w:line="22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62"/>
      <w:spacing w:line="22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57"/>
      <w:spacing w:line="22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63"/>
      <w:spacing w:line="22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62"/>
      <w:spacing w:line="22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6"/>
      <w:spacing w:before="49" w:line="222" w:lineRule="auto"/>
      <w:rPr>
        <w:sz w:val="18"/>
        <w:szCs w:val="18"/>
      </w:rPr>
    </w:pPr>
    <w:r>
      <w:pict>
        <v:shape id="_x0000_s2" style="position:absolute;margin-left:52.584pt;margin-top:55.22pt;mso-position-vertical-relative:page;mso-position-horizontal-relative:page;width:490.3pt;height:0.75pt;z-index:251658240;" o:allowincell="f" fillcolor="#000000" filled="true" stroked="false" coordsize="9805,15" coordorigin="0,0" path="m0,14l9805,14l9805,0l0,0l0,14xe"/>
      </w:pict>
    </w:r>
    <w:r>
      <w:rPr>
        <w:sz w:val="18"/>
        <w:szCs w:val="18"/>
        <w:spacing w:val="1"/>
      </w:rPr>
      <w:t>Regulatory Monthly Report</w:t>
    </w:r>
    <w:r>
      <w:rPr>
        <w:rFonts w:ascii="Times New Roman" w:hAnsi="Times New Roman" w:eastAsia="Times New Roman" w:cs="Times New Roman"/>
        <w:sz w:val="18"/>
        <w:szCs w:val="18"/>
        <w:spacing w:val="1"/>
      </w:rPr>
      <w:t>—</w:t>
    </w:r>
    <w:r>
      <w:rPr>
        <w:sz w:val="18"/>
        <w:szCs w:val="18"/>
        <w:spacing w:val="1"/>
      </w:rPr>
      <w:t>Issue 5</w:t>
    </w:r>
    <w:r>
      <w:rPr>
        <w:sz w:val="18"/>
        <w:szCs w:val="18"/>
      </w:rPr>
      <w:t xml:space="preserve">Nanjing Yin Guang Pharmaceutical</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6"/>
      <w:spacing w:before="49" w:line="222" w:lineRule="auto"/>
      <w:rPr>
        <w:sz w:val="18"/>
        <w:szCs w:val="18"/>
      </w:rPr>
    </w:pPr>
    <w:r>
      <w:pict>
        <v:shape id="_x0000_s4" style="position:absolute;margin-left:52.584pt;margin-top:55.22pt;mso-position-vertical-relative:page;mso-position-horizontal-relative:page;width:490.3pt;height:0.75pt;z-index:251660288;" o:allowincell="f" fillcolor="#000000" filled="true" stroked="false" coordsize="9805,15" coordorigin="0,0" path="m0,14l9805,14l9805,0l0,0l0,14xe"/>
      </w:pict>
    </w:r>
    <w:r>
      <w:rPr>
        <w:sz w:val="18"/>
        <w:szCs w:val="18"/>
        <w:spacing w:val="1"/>
      </w:rPr>
      <w:t>Regulatory Monthly Report</w:t>
    </w:r>
    <w:r>
      <w:rPr>
        <w:rFonts w:ascii="Times New Roman" w:hAnsi="Times New Roman" w:eastAsia="Times New Roman" w:cs="Times New Roman"/>
        <w:sz w:val="18"/>
        <w:szCs w:val="18"/>
        <w:spacing w:val="1"/>
      </w:rPr>
      <w:t>—</w:t>
    </w:r>
    <w:r>
      <w:rPr>
        <w:sz w:val="18"/>
        <w:szCs w:val="18"/>
        <w:spacing w:val="1"/>
      </w:rPr>
      <w:t>Issue 5</w:t>
    </w:r>
    <w:r>
      <w:rPr>
        <w:sz w:val="18"/>
        <w:szCs w:val="18"/>
      </w:rPr>
      <w:t xml:space="preserve">Nanjing Yin Guang Pharmaceutical</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6"/>
      <w:spacing w:before="49" w:line="222" w:lineRule="auto"/>
      <w:rPr>
        <w:sz w:val="18"/>
        <w:szCs w:val="18"/>
      </w:rPr>
    </w:pPr>
    <w:r>
      <w:pict>
        <v:shape id="_x0000_s6" style="position:absolute;margin-left:52.584pt;margin-top:55.22pt;mso-position-vertical-relative:page;mso-position-horizontal-relative:page;width:490.3pt;height:0.75pt;z-index:251661312;" o:allowincell="f" fillcolor="#000000" filled="true" stroked="false" coordsize="9805,15" coordorigin="0,0" path="m0,14l9805,14l9805,0l0,0l0,14xe"/>
      </w:pict>
    </w:r>
    <w:r>
      <w:rPr>
        <w:sz w:val="18"/>
        <w:szCs w:val="18"/>
        <w:spacing w:val="1"/>
      </w:rPr>
      <w:t>Regulatory Monthly Report</w:t>
    </w:r>
    <w:r>
      <w:rPr>
        <w:rFonts w:ascii="Times New Roman" w:hAnsi="Times New Roman" w:eastAsia="Times New Roman" w:cs="Times New Roman"/>
        <w:sz w:val="18"/>
        <w:szCs w:val="18"/>
        <w:spacing w:val="1"/>
      </w:rPr>
      <w:t>—</w:t>
    </w:r>
    <w:r>
      <w:rPr>
        <w:sz w:val="18"/>
        <w:szCs w:val="18"/>
        <w:spacing w:val="1"/>
      </w:rPr>
      <w:t>Issue 5</w:t>
    </w:r>
    <w:r>
      <w:rPr>
        <w:sz w:val="18"/>
        <w:szCs w:val="18"/>
      </w:rPr>
      <w:t xml:space="preserve">Nanjing Yin Guang Pharmaceutical</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6"/>
      <w:spacing w:before="49" w:line="222" w:lineRule="auto"/>
      <w:rPr>
        <w:sz w:val="18"/>
        <w:szCs w:val="18"/>
      </w:rPr>
    </w:pPr>
    <w:r>
      <w:pict>
        <v:shape id="_x0000_s8" style="position:absolute;margin-left:52.584pt;margin-top:55.22pt;mso-position-vertical-relative:page;mso-position-horizontal-relative:page;width:490.3pt;height:0.75pt;z-index:251662336;" o:allowincell="f" fillcolor="#000000" filled="true" stroked="false" coordsize="9805,15" coordorigin="0,0" path="m0,14l9805,14l9805,0l0,0l0,14xe"/>
      </w:pict>
    </w:r>
    <w:r>
      <w:rPr>
        <w:sz w:val="18"/>
        <w:szCs w:val="18"/>
        <w:spacing w:val="1"/>
      </w:rPr>
      <w:t>Regulatory Monthly Report</w:t>
    </w:r>
    <w:r>
      <w:rPr>
        <w:rFonts w:ascii="Times New Roman" w:hAnsi="Times New Roman" w:eastAsia="Times New Roman" w:cs="Times New Roman"/>
        <w:sz w:val="18"/>
        <w:szCs w:val="18"/>
        <w:spacing w:val="1"/>
      </w:rPr>
      <w:t>—</w:t>
    </w:r>
    <w:r>
      <w:rPr>
        <w:sz w:val="18"/>
        <w:szCs w:val="18"/>
        <w:spacing w:val="1"/>
      </w:rPr>
      <w:t>Issue 5</w:t>
    </w:r>
    <w:r>
      <w:rPr>
        <w:sz w:val="18"/>
        <w:szCs w:val="18"/>
      </w:rPr>
      <w:t xml:space="preserve">Nanjing Yin Guang Pharmaceutical</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4"/>
      <w:szCs w:val="24"/>
      <w:lang w:val="en-US" w:eastAsia="en-US" w:bidi="ar-SA"/>
    </w:rPr>
  </w:style>
</w:styles>
</file>

<file path=word/_rels/document.xml.rels><?xml version="1.0" encoding="UTF-8" standalone="yes"?><Relationships xmlns="http://schemas.openxmlformats.org/package/2006/relationships"><Relationship Id="rId1" Target="header1.xml" Type="http://schemas.openxmlformats.org/officeDocument/2006/relationships/header"/><Relationship Id="rId10" Target="header4.xml" Type="http://schemas.openxmlformats.org/officeDocument/2006/relationships/header"/><Relationship Id="rId11" Target="footer5.xml" Type="http://schemas.openxmlformats.org/officeDocument/2006/relationships/footer"/><Relationship Id="rId12" Target="footer6.xml" Type="http://schemas.openxmlformats.org/officeDocument/2006/relationships/footer"/><Relationship Id="rId13" Target="settings.xml" Type="http://schemas.openxmlformats.org/officeDocument/2006/relationships/settings"/><Relationship Id="rId14" Target="styles.xml" Type="http://schemas.openxmlformats.org/officeDocument/2006/relationships/styles"/><Relationship Id="rId15" Target="fontTable.xml" Type="http://schemas.openxmlformats.org/officeDocument/2006/relationships/fontTable"/><Relationship Id="rId2" Target="footer1.xml" Type="http://schemas.openxmlformats.org/officeDocument/2006/relationships/footer"/><Relationship Id="rId3" Target="media/image1.jpeg" Type="http://schemas.openxmlformats.org/officeDocument/2006/relationships/image"/><Relationship Id="rId4" Target="footer2.xml" Type="http://schemas.openxmlformats.org/officeDocument/2006/relationships/footer"/><Relationship Id="rId5" Target="header2.xml" Type="http://schemas.openxmlformats.org/officeDocument/2006/relationships/header"/><Relationship Id="rId6" Target="footer3.xml" Type="http://schemas.openxmlformats.org/officeDocument/2006/relationships/footer"/><Relationship Id="rId7" Target="header3.xml" Type="http://schemas.openxmlformats.org/officeDocument/2006/relationships/header"/><Relationship Id="rId8" Target="footer4.xml" Type="http://schemas.openxmlformats.org/officeDocument/2006/relationships/footer"/><Relationship Id="rId9" Target="media/image2.jpeg" Type="http://schemas.openxmlformats.org/officeDocument/2006/relationships/image"/></Relationships>
</file>

<file path=docProps/app.xml><?xml version="1.0" encoding="utf-8"?>
<ap:Properties xmlns:vt="http://schemas.openxmlformats.org/officeDocument/2006/docPropsVTypes" xmlns:ap="http://schemas.openxmlformats.org/officeDocument/2006/extended-properties">
  <ap:Application>Microsoft® Word 2010</ap:Application>
</ap: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2025-11-14T21:01:22Z</dcterms:created>
  <dc:creator>周平</dc:creator>
</cp:coreProperties>
</file>

<file path=docProps/custom.xml><?xml version="1.0" encoding="utf-8"?>
<ns0:Properties xmlns:ns0="http://schemas.openxmlformats.org/officeDocument/2006/custom-properties" xmlns:ns1="http://schemas.openxmlformats.org/officeDocument/2006/docPropsVTypes">
  <ns0:property fmtid="{D5CDD505-2E9C-101B-9397-08002B2CF9AE}" pid="2" name="CRO">
    <ns1:lpwstr>wqlLaW5nc29mdCBQREYgdG8gV1BTIDEyMA</ns1:lpwstr>
  </ns0:property>
  <ns0:property fmtid="{D5CDD505-2E9C-101B-9397-08002B2CF9AE}" pid="3" name="Created">
    <ns1:filetime>2026-07-06T16:25:54</ns1:filetime>
  </ns0:property>
  <ns0:property fmtid="{D5CDD505-2E9C-101B-9397-08002B2CF9AE}" pid="4" name="AIGC">
    <ns1:lpwstr>{"Label": 1, "ContentProducer": "001191330110MADHPQQY7L10000", "ProduceID": "doc_translate_17760a7ce2a64b12a6b759a925350e6c", "ReservedCode1": "d59fc7a5dd3083bb5058919809de54db86555002dd77642267e3801dd9797112", "ContentPropagator": "001191330110MADHPQQY7L10000", "PropagateID": "doc_translate_17760a7ce2a64b12a6b759a925350e6c", "ReservedCode2": ""}</ns1:lpwstr>
  </ns0:property>
</ns0:Properties>
</file>